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6499" w14:textId="17A25FE0" w:rsidR="008D1BEF" w:rsidRPr="008D1BEF" w:rsidRDefault="008D1BEF" w:rsidP="008D1BEF">
      <w:pPr>
        <w:spacing w:line="240" w:lineRule="auto"/>
        <w:ind w:left="284"/>
        <w:rPr>
          <w:rFonts w:ascii="Times New Roman" w:eastAsia="Times New Roman" w:hAnsi="Times New Roman" w:cs="Times New Roman"/>
          <w:b/>
          <w:bCs/>
          <w:lang w:val="en-US"/>
        </w:rPr>
      </w:pPr>
      <w:r w:rsidRPr="008D1BEF">
        <w:rPr>
          <w:rFonts w:ascii="Times New Roman" w:eastAsia="Times New Roman" w:hAnsi="Times New Roman" w:cs="Times New Roman"/>
          <w:b/>
          <w:bCs/>
          <w:noProof/>
          <w:lang w:val="en-US"/>
        </w:rPr>
        <w:drawing>
          <wp:anchor distT="0" distB="0" distL="114300" distR="114300" simplePos="0" relativeHeight="251668480" behindDoc="1" locked="0" layoutInCell="1" allowOverlap="1" wp14:anchorId="2AB30C23" wp14:editId="2075BACE">
            <wp:simplePos x="0" y="0"/>
            <wp:positionH relativeFrom="column">
              <wp:posOffset>-907562</wp:posOffset>
            </wp:positionH>
            <wp:positionV relativeFrom="paragraph">
              <wp:posOffset>-899437</wp:posOffset>
            </wp:positionV>
            <wp:extent cx="7540283" cy="10666786"/>
            <wp:effectExtent l="0" t="0" r="3810" b="1270"/>
            <wp:wrapNone/>
            <wp:docPr id="162291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0283" cy="106667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5B95C" w14:textId="77777777" w:rsidR="008D1BEF" w:rsidRDefault="008D1BEF" w:rsidP="001B3F12">
      <w:pPr>
        <w:spacing w:line="240" w:lineRule="auto"/>
        <w:ind w:left="284"/>
        <w:rPr>
          <w:rFonts w:ascii="Times New Roman" w:eastAsia="Times New Roman" w:hAnsi="Times New Roman" w:cs="Times New Roman"/>
          <w:b/>
          <w:bCs/>
        </w:rPr>
        <w:sectPr w:rsidR="008D1BEF" w:rsidSect="008D1BEF">
          <w:headerReference w:type="default" r:id="rId10"/>
          <w:footerReference w:type="default" r:id="rId11"/>
          <w:footerReference w:type="first" r:id="rId12"/>
          <w:pgSz w:w="11906" w:h="16838"/>
          <w:pgMar w:top="1440" w:right="1440" w:bottom="1440" w:left="1440" w:header="709" w:footer="709" w:gutter="0"/>
          <w:pgNumType w:fmt="lowerRoman" w:start="1"/>
          <w:cols w:num="2" w:space="720"/>
          <w:titlePg/>
          <w:docGrid w:linePitch="299"/>
        </w:sectPr>
      </w:pPr>
    </w:p>
    <w:p w14:paraId="37E6752F" w14:textId="77777777" w:rsidR="008D1BEF" w:rsidRPr="004775BC" w:rsidRDefault="008D1BEF" w:rsidP="008D1BEF">
      <w:pPr>
        <w:spacing w:after="0"/>
        <w:ind w:left="0"/>
        <w:jc w:val="center"/>
        <w:rPr>
          <w:rFonts w:ascii="Times New Roman" w:hAnsi="Times New Roman" w:cs="Times New Roman"/>
          <w:b/>
          <w:bCs/>
          <w:lang w:val="en-US"/>
        </w:rPr>
      </w:pPr>
      <w:r w:rsidRPr="004775BC">
        <w:rPr>
          <w:rFonts w:ascii="Times New Roman" w:hAnsi="Times New Roman" w:cs="Times New Roman"/>
          <w:b/>
          <w:bCs/>
          <w:lang w:val="en-US"/>
        </w:rPr>
        <w:lastRenderedPageBreak/>
        <w:t>HGSC 2024: Proceedings of the 3</w:t>
      </w:r>
      <w:r w:rsidRPr="004775BC">
        <w:rPr>
          <w:rFonts w:ascii="Times New Roman" w:hAnsi="Times New Roman" w:cs="Times New Roman"/>
          <w:b/>
          <w:bCs/>
          <w:vertAlign w:val="superscript"/>
          <w:lang w:val="en-US"/>
        </w:rPr>
        <w:t>rd</w:t>
      </w:r>
    </w:p>
    <w:p w14:paraId="1F2A5488" w14:textId="77777777" w:rsidR="008D1BEF" w:rsidRPr="004775BC" w:rsidRDefault="008D1BEF" w:rsidP="008D1BEF">
      <w:pPr>
        <w:spacing w:after="0"/>
        <w:jc w:val="center"/>
        <w:rPr>
          <w:rFonts w:ascii="Times New Roman" w:hAnsi="Times New Roman" w:cs="Times New Roman"/>
          <w:b/>
          <w:bCs/>
          <w:lang w:val="en-US"/>
        </w:rPr>
      </w:pPr>
      <w:r w:rsidRPr="004775BC">
        <w:rPr>
          <w:rFonts w:ascii="Times New Roman" w:hAnsi="Times New Roman" w:cs="Times New Roman"/>
          <w:b/>
          <w:bCs/>
          <w:lang w:val="en-US"/>
        </w:rPr>
        <w:t>Hasanuddin Global Student Conference on Social and Political Science</w:t>
      </w:r>
    </w:p>
    <w:p w14:paraId="35F9B1AF" w14:textId="77777777" w:rsidR="008D1BEF" w:rsidRPr="004775BC" w:rsidRDefault="008D1BEF" w:rsidP="008D1BEF">
      <w:pPr>
        <w:spacing w:after="0"/>
        <w:jc w:val="center"/>
        <w:rPr>
          <w:rFonts w:ascii="Times New Roman" w:hAnsi="Times New Roman" w:cs="Times New Roman"/>
          <w:lang w:val="en-US"/>
        </w:rPr>
      </w:pPr>
      <w:r w:rsidRPr="004775BC">
        <w:rPr>
          <w:rFonts w:ascii="Times New Roman" w:hAnsi="Times New Roman" w:cs="Times New Roman"/>
          <w:lang w:val="en-US"/>
        </w:rPr>
        <w:t xml:space="preserve">“Navigating Theories </w:t>
      </w:r>
      <w:proofErr w:type="gramStart"/>
      <w:r w:rsidRPr="004775BC">
        <w:rPr>
          <w:rFonts w:ascii="Times New Roman" w:hAnsi="Times New Roman" w:cs="Times New Roman"/>
          <w:lang w:val="en-US"/>
        </w:rPr>
        <w:t>Into</w:t>
      </w:r>
      <w:proofErr w:type="gramEnd"/>
      <w:r w:rsidRPr="004775BC">
        <w:rPr>
          <w:rFonts w:ascii="Times New Roman" w:hAnsi="Times New Roman" w:cs="Times New Roman"/>
          <w:lang w:val="en-US"/>
        </w:rPr>
        <w:t xml:space="preserve"> Practice: AI Agendas on Social and Political Sciences”.</w:t>
      </w:r>
    </w:p>
    <w:p w14:paraId="47225CF7" w14:textId="77777777" w:rsidR="008D1BEF" w:rsidRDefault="008D1BEF" w:rsidP="008D1BEF">
      <w:pPr>
        <w:jc w:val="center"/>
        <w:rPr>
          <w:rFonts w:ascii="Times New Roman" w:hAnsi="Times New Roman" w:cs="Times New Roman"/>
          <w:lang w:val="en-US"/>
        </w:rPr>
      </w:pPr>
    </w:p>
    <w:p w14:paraId="0C555A22" w14:textId="77777777" w:rsidR="008D1BEF" w:rsidRDefault="008D1BEF" w:rsidP="008D1BEF">
      <w:pPr>
        <w:jc w:val="center"/>
        <w:rPr>
          <w:rFonts w:ascii="Times New Roman" w:hAnsi="Times New Roman" w:cs="Times New Roman"/>
          <w:lang w:val="en-US"/>
        </w:rPr>
      </w:pPr>
    </w:p>
    <w:p w14:paraId="416F7B21" w14:textId="77777777" w:rsidR="008D1BEF" w:rsidRPr="004775BC" w:rsidRDefault="008D1BEF" w:rsidP="008D1BEF">
      <w:pPr>
        <w:jc w:val="center"/>
        <w:rPr>
          <w:rFonts w:ascii="Times New Roman" w:hAnsi="Times New Roman" w:cs="Times New Roman"/>
          <w:b/>
          <w:bCs/>
          <w:lang w:val="en-US"/>
        </w:rPr>
      </w:pPr>
      <w:r w:rsidRPr="004775BC">
        <w:rPr>
          <w:rFonts w:ascii="Times New Roman" w:hAnsi="Times New Roman" w:cs="Times New Roman"/>
          <w:b/>
          <w:bCs/>
          <w:lang w:val="en-US"/>
        </w:rPr>
        <w:t>EDITOR</w:t>
      </w:r>
    </w:p>
    <w:p w14:paraId="6CD38457" w14:textId="77777777" w:rsidR="008D1BEF" w:rsidRDefault="008D1BEF" w:rsidP="008D1BEF">
      <w:pPr>
        <w:spacing w:after="0"/>
        <w:jc w:val="center"/>
        <w:rPr>
          <w:rFonts w:ascii="Times New Roman" w:hAnsi="Times New Roman" w:cs="Times New Roman"/>
          <w:lang w:val="en-US"/>
        </w:rPr>
      </w:pPr>
      <w:r>
        <w:rPr>
          <w:rFonts w:ascii="Times New Roman" w:hAnsi="Times New Roman" w:cs="Times New Roman"/>
          <w:lang w:val="en-US"/>
        </w:rPr>
        <w:t>Putu Wijangga</w:t>
      </w:r>
    </w:p>
    <w:p w14:paraId="0988F844" w14:textId="77777777" w:rsidR="008D1BEF" w:rsidRDefault="008D1BEF" w:rsidP="008D1BEF">
      <w:pPr>
        <w:spacing w:after="0"/>
        <w:jc w:val="center"/>
        <w:rPr>
          <w:rFonts w:ascii="Times New Roman" w:hAnsi="Times New Roman" w:cs="Times New Roman"/>
          <w:lang w:val="en-US"/>
        </w:rPr>
      </w:pPr>
      <w:r>
        <w:rPr>
          <w:rFonts w:ascii="Times New Roman" w:hAnsi="Times New Roman" w:cs="Times New Roman"/>
          <w:lang w:val="en-US"/>
        </w:rPr>
        <w:t>Susanto Febrian RD</w:t>
      </w:r>
    </w:p>
    <w:p w14:paraId="66A90984" w14:textId="77777777" w:rsidR="008D1BEF" w:rsidRDefault="008D1BEF" w:rsidP="008D1BEF">
      <w:pPr>
        <w:spacing w:after="0"/>
        <w:jc w:val="center"/>
        <w:rPr>
          <w:rFonts w:ascii="Times New Roman" w:hAnsi="Times New Roman" w:cs="Times New Roman"/>
          <w:lang w:val="en-US"/>
        </w:rPr>
      </w:pPr>
      <w:r>
        <w:rPr>
          <w:rFonts w:ascii="Times New Roman" w:hAnsi="Times New Roman" w:cs="Times New Roman"/>
          <w:lang w:val="en-US"/>
        </w:rPr>
        <w:t xml:space="preserve">Dwi </w:t>
      </w:r>
      <w:proofErr w:type="spellStart"/>
      <w:r>
        <w:rPr>
          <w:rFonts w:ascii="Times New Roman" w:hAnsi="Times New Roman" w:cs="Times New Roman"/>
          <w:lang w:val="en-US"/>
        </w:rPr>
        <w:t>Nurfadilah</w:t>
      </w:r>
      <w:proofErr w:type="spellEnd"/>
    </w:p>
    <w:p w14:paraId="7DDEEB5C" w14:textId="77777777" w:rsidR="008D1BEF" w:rsidRDefault="008D1BEF" w:rsidP="008D1BEF">
      <w:pPr>
        <w:spacing w:after="0"/>
        <w:jc w:val="center"/>
        <w:rPr>
          <w:rFonts w:ascii="Times New Roman" w:hAnsi="Times New Roman" w:cs="Times New Roman"/>
          <w:lang w:val="en-US"/>
        </w:rPr>
      </w:pPr>
    </w:p>
    <w:p w14:paraId="6BF82387" w14:textId="77777777" w:rsidR="008D1BEF" w:rsidRDefault="008D1BEF" w:rsidP="008D1BEF">
      <w:pPr>
        <w:spacing w:after="0"/>
        <w:jc w:val="center"/>
        <w:rPr>
          <w:rFonts w:ascii="Times New Roman" w:hAnsi="Times New Roman" w:cs="Times New Roman"/>
          <w:lang w:val="en-US"/>
        </w:rPr>
      </w:pPr>
    </w:p>
    <w:p w14:paraId="2977DCAB" w14:textId="77777777" w:rsidR="008D1BEF" w:rsidRDefault="008D1BEF" w:rsidP="008D1BEF">
      <w:pPr>
        <w:spacing w:after="0"/>
        <w:jc w:val="center"/>
        <w:rPr>
          <w:rFonts w:ascii="Times New Roman" w:hAnsi="Times New Roman" w:cs="Times New Roman"/>
          <w:lang w:val="en-US"/>
        </w:rPr>
      </w:pPr>
    </w:p>
    <w:p w14:paraId="765951E0" w14:textId="77777777" w:rsidR="008D1BEF" w:rsidRDefault="008D1BEF" w:rsidP="008D1BEF">
      <w:pPr>
        <w:spacing w:after="0"/>
        <w:jc w:val="center"/>
        <w:rPr>
          <w:rFonts w:ascii="Times New Roman" w:hAnsi="Times New Roman" w:cs="Times New Roman"/>
          <w:lang w:val="en-US"/>
        </w:rPr>
      </w:pPr>
    </w:p>
    <w:p w14:paraId="5BA702B2" w14:textId="77777777" w:rsidR="008D1BEF" w:rsidRDefault="008D1BEF" w:rsidP="008D1BEF">
      <w:pPr>
        <w:spacing w:after="0"/>
        <w:jc w:val="center"/>
        <w:rPr>
          <w:rFonts w:ascii="Times New Roman" w:hAnsi="Times New Roman" w:cs="Times New Roman"/>
          <w:lang w:val="en-US"/>
        </w:rPr>
      </w:pPr>
    </w:p>
    <w:p w14:paraId="311F5E7A" w14:textId="77777777" w:rsidR="008D1BEF" w:rsidRDefault="008D1BEF" w:rsidP="008D1BEF">
      <w:pPr>
        <w:spacing w:after="0"/>
        <w:jc w:val="center"/>
        <w:rPr>
          <w:rFonts w:ascii="Times New Roman" w:hAnsi="Times New Roman" w:cs="Times New Roman"/>
          <w:lang w:val="en-US"/>
        </w:rPr>
      </w:pPr>
    </w:p>
    <w:p w14:paraId="1B7832CF" w14:textId="77777777" w:rsidR="008D1BEF" w:rsidRDefault="008D1BEF" w:rsidP="008D1BEF">
      <w:pPr>
        <w:spacing w:after="0"/>
        <w:jc w:val="center"/>
        <w:rPr>
          <w:rFonts w:ascii="Times New Roman" w:hAnsi="Times New Roman" w:cs="Times New Roman"/>
          <w:lang w:val="en-US"/>
        </w:rPr>
      </w:pPr>
    </w:p>
    <w:p w14:paraId="6D41E36C" w14:textId="77777777" w:rsidR="008D1BEF" w:rsidRDefault="008D1BEF" w:rsidP="008D1BEF">
      <w:pPr>
        <w:spacing w:after="0"/>
        <w:jc w:val="center"/>
        <w:rPr>
          <w:rFonts w:ascii="Times New Roman" w:hAnsi="Times New Roman" w:cs="Times New Roman"/>
          <w:lang w:val="en-US"/>
        </w:rPr>
      </w:pPr>
    </w:p>
    <w:p w14:paraId="13BE973B" w14:textId="77777777" w:rsidR="008D1BEF" w:rsidRDefault="008D1BEF" w:rsidP="008D1BEF">
      <w:pPr>
        <w:spacing w:after="0"/>
        <w:jc w:val="center"/>
        <w:rPr>
          <w:rFonts w:ascii="Times New Roman" w:hAnsi="Times New Roman" w:cs="Times New Roman"/>
          <w:lang w:val="en-US"/>
        </w:rPr>
      </w:pPr>
    </w:p>
    <w:p w14:paraId="11BC629E" w14:textId="77777777" w:rsidR="008D1BEF" w:rsidRDefault="008D1BEF" w:rsidP="008D1BEF">
      <w:pPr>
        <w:spacing w:after="0"/>
        <w:jc w:val="center"/>
        <w:rPr>
          <w:rFonts w:ascii="Times New Roman" w:hAnsi="Times New Roman" w:cs="Times New Roman"/>
          <w:lang w:val="en-US"/>
        </w:rPr>
      </w:pPr>
    </w:p>
    <w:p w14:paraId="031FF303" w14:textId="77777777" w:rsidR="008D1BEF" w:rsidRDefault="008D1BEF" w:rsidP="008D1BEF">
      <w:pPr>
        <w:spacing w:after="0"/>
        <w:jc w:val="center"/>
        <w:rPr>
          <w:rFonts w:ascii="Times New Roman" w:hAnsi="Times New Roman" w:cs="Times New Roman"/>
          <w:lang w:val="en-US"/>
        </w:rPr>
      </w:pPr>
    </w:p>
    <w:p w14:paraId="7BBA629F" w14:textId="77777777" w:rsidR="008D1BEF" w:rsidRDefault="008D1BEF" w:rsidP="008D1BEF">
      <w:pPr>
        <w:spacing w:after="0"/>
        <w:jc w:val="center"/>
        <w:rPr>
          <w:rFonts w:ascii="Times New Roman" w:hAnsi="Times New Roman" w:cs="Times New Roman"/>
          <w:lang w:val="en-US"/>
        </w:rPr>
      </w:pPr>
    </w:p>
    <w:p w14:paraId="3866783B" w14:textId="77777777" w:rsidR="008D1BEF" w:rsidRDefault="008D1BEF" w:rsidP="008D1BEF">
      <w:pPr>
        <w:spacing w:after="0"/>
        <w:jc w:val="center"/>
        <w:rPr>
          <w:rFonts w:ascii="Times New Roman" w:hAnsi="Times New Roman" w:cs="Times New Roman"/>
          <w:lang w:val="en-US"/>
        </w:rPr>
      </w:pPr>
    </w:p>
    <w:p w14:paraId="4E1F53C3" w14:textId="77777777" w:rsidR="008D1BEF" w:rsidRDefault="008D1BEF" w:rsidP="008D1BEF">
      <w:pPr>
        <w:spacing w:after="0"/>
        <w:jc w:val="center"/>
        <w:rPr>
          <w:rFonts w:ascii="Times New Roman" w:hAnsi="Times New Roman" w:cs="Times New Roman"/>
          <w:lang w:val="en-US"/>
        </w:rPr>
      </w:pPr>
    </w:p>
    <w:p w14:paraId="58803AB2" w14:textId="77777777" w:rsidR="008D1BEF" w:rsidRDefault="008D1BEF" w:rsidP="008D1BEF">
      <w:pPr>
        <w:spacing w:after="0"/>
        <w:ind w:left="0"/>
        <w:rPr>
          <w:rFonts w:ascii="Times New Roman" w:hAnsi="Times New Roman" w:cs="Times New Roman"/>
          <w:lang w:val="en-US"/>
        </w:rPr>
      </w:pPr>
    </w:p>
    <w:p w14:paraId="4A58B606" w14:textId="77777777" w:rsidR="008D1BEF" w:rsidRDefault="008D1BEF" w:rsidP="008D1BEF">
      <w:pPr>
        <w:spacing w:after="0"/>
        <w:jc w:val="center"/>
        <w:rPr>
          <w:rFonts w:ascii="Times New Roman" w:hAnsi="Times New Roman" w:cs="Times New Roman"/>
          <w:lang w:val="en-US"/>
        </w:rPr>
      </w:pPr>
    </w:p>
    <w:p w14:paraId="484BEB95" w14:textId="77777777" w:rsidR="008D1BEF" w:rsidRDefault="008D1BEF" w:rsidP="008D1BEF">
      <w:pPr>
        <w:spacing w:after="0"/>
        <w:jc w:val="center"/>
        <w:rPr>
          <w:rFonts w:ascii="Times New Roman" w:hAnsi="Times New Roman" w:cs="Times New Roman"/>
          <w:lang w:val="en-US"/>
        </w:rPr>
      </w:pPr>
    </w:p>
    <w:p w14:paraId="23998015" w14:textId="77777777" w:rsidR="008D1BEF" w:rsidRDefault="008D1BEF" w:rsidP="008D1BEF">
      <w:pPr>
        <w:spacing w:after="0"/>
        <w:jc w:val="center"/>
        <w:rPr>
          <w:rFonts w:ascii="Times New Roman" w:hAnsi="Times New Roman" w:cs="Times New Roman"/>
          <w:lang w:val="en-US"/>
        </w:rPr>
      </w:pPr>
      <w:r>
        <w:rPr>
          <w:rFonts w:ascii="Times New Roman" w:hAnsi="Times New Roman" w:cs="Times New Roman"/>
          <w:lang w:val="en-US"/>
        </w:rPr>
        <w:t>Makassar, Indonesia</w:t>
      </w:r>
    </w:p>
    <w:p w14:paraId="52D36E02" w14:textId="6FA63A43" w:rsidR="008D1BEF" w:rsidRDefault="008D1BEF" w:rsidP="008D1BEF">
      <w:pPr>
        <w:spacing w:after="0"/>
        <w:jc w:val="center"/>
        <w:rPr>
          <w:rFonts w:ascii="Times New Roman" w:hAnsi="Times New Roman" w:cs="Times New Roman"/>
          <w:lang w:val="en-US"/>
        </w:rPr>
      </w:pPr>
      <w:r>
        <w:rPr>
          <w:rFonts w:ascii="Times New Roman" w:hAnsi="Times New Roman" w:cs="Times New Roman"/>
          <w:lang w:val="en-US"/>
        </w:rPr>
        <w:t>December 11</w:t>
      </w:r>
      <w:r w:rsidRPr="00E246C8">
        <w:rPr>
          <w:rFonts w:ascii="Times New Roman" w:hAnsi="Times New Roman" w:cs="Times New Roman"/>
          <w:vertAlign w:val="superscript"/>
          <w:lang w:val="en-US"/>
        </w:rPr>
        <w:t>th</w:t>
      </w:r>
      <w:r>
        <w:rPr>
          <w:rFonts w:ascii="Times New Roman" w:hAnsi="Times New Roman" w:cs="Times New Roman"/>
          <w:lang w:val="en-US"/>
        </w:rPr>
        <w:t>-12</w:t>
      </w:r>
      <w:r w:rsidRPr="00E246C8">
        <w:rPr>
          <w:rFonts w:ascii="Times New Roman" w:hAnsi="Times New Roman" w:cs="Times New Roman"/>
          <w:vertAlign w:val="superscript"/>
          <w:lang w:val="en-US"/>
        </w:rPr>
        <w:t>th</w:t>
      </w:r>
      <w:r>
        <w:rPr>
          <w:rFonts w:ascii="Times New Roman" w:hAnsi="Times New Roman" w:cs="Times New Roman"/>
          <w:lang w:val="en-US"/>
        </w:rPr>
        <w:t>, 2024</w:t>
      </w:r>
    </w:p>
    <w:p w14:paraId="14302E67" w14:textId="77777777" w:rsidR="008D1BEF" w:rsidRDefault="008D1BEF" w:rsidP="008D1BEF">
      <w:pPr>
        <w:spacing w:after="0"/>
        <w:jc w:val="center"/>
        <w:rPr>
          <w:rFonts w:ascii="Times New Roman" w:hAnsi="Times New Roman" w:cs="Times New Roman"/>
          <w:lang w:val="en-US"/>
        </w:rPr>
      </w:pPr>
    </w:p>
    <w:p w14:paraId="1770D992" w14:textId="77777777" w:rsidR="008D1BEF" w:rsidRDefault="008D1BEF" w:rsidP="008D1BEF">
      <w:pPr>
        <w:spacing w:after="0"/>
        <w:jc w:val="center"/>
        <w:rPr>
          <w:rFonts w:ascii="Times New Roman" w:hAnsi="Times New Roman" w:cs="Times New Roman"/>
          <w:lang w:val="en-US"/>
        </w:rPr>
      </w:pPr>
    </w:p>
    <w:p w14:paraId="5F5779B3" w14:textId="77777777" w:rsidR="008D1BEF" w:rsidRDefault="008D1BEF" w:rsidP="008D1BEF">
      <w:pPr>
        <w:spacing w:after="0"/>
        <w:jc w:val="center"/>
        <w:rPr>
          <w:rFonts w:ascii="Times New Roman" w:hAnsi="Times New Roman" w:cs="Times New Roman"/>
          <w:lang w:val="en-US"/>
        </w:rPr>
      </w:pPr>
    </w:p>
    <w:p w14:paraId="39E4A2B1" w14:textId="77777777" w:rsidR="008D1BEF" w:rsidRDefault="008D1BEF" w:rsidP="008D1BEF">
      <w:pPr>
        <w:spacing w:after="0"/>
        <w:jc w:val="center"/>
        <w:rPr>
          <w:rFonts w:ascii="Times New Roman" w:hAnsi="Times New Roman" w:cs="Times New Roman"/>
          <w:lang w:val="en-US"/>
        </w:rPr>
      </w:pPr>
    </w:p>
    <w:p w14:paraId="134231E7" w14:textId="77777777" w:rsidR="008D1BEF" w:rsidRDefault="008D1BEF" w:rsidP="008D1BEF">
      <w:pPr>
        <w:spacing w:after="0"/>
        <w:jc w:val="center"/>
        <w:rPr>
          <w:rFonts w:ascii="Times New Roman" w:hAnsi="Times New Roman" w:cs="Times New Roman"/>
          <w:lang w:val="en-US"/>
        </w:rPr>
      </w:pPr>
    </w:p>
    <w:p w14:paraId="6D8116F9" w14:textId="77777777" w:rsidR="008D1BEF" w:rsidRDefault="008D1BEF" w:rsidP="008D1BEF">
      <w:pPr>
        <w:spacing w:after="0"/>
        <w:jc w:val="center"/>
        <w:rPr>
          <w:rFonts w:ascii="Times New Roman" w:hAnsi="Times New Roman" w:cs="Times New Roman"/>
          <w:lang w:val="en-US"/>
        </w:rPr>
      </w:pPr>
    </w:p>
    <w:p w14:paraId="0C5B472C" w14:textId="77777777" w:rsidR="008D1BEF" w:rsidRDefault="008D1BEF" w:rsidP="008D1BEF">
      <w:pPr>
        <w:spacing w:after="0"/>
        <w:jc w:val="center"/>
        <w:rPr>
          <w:rFonts w:ascii="Times New Roman" w:hAnsi="Times New Roman" w:cs="Times New Roman"/>
          <w:lang w:val="en-US"/>
        </w:rPr>
      </w:pPr>
    </w:p>
    <w:p w14:paraId="24C60813" w14:textId="77777777" w:rsidR="008D1BEF" w:rsidRDefault="008D1BEF" w:rsidP="008D1BEF">
      <w:pPr>
        <w:spacing w:after="0"/>
        <w:jc w:val="center"/>
        <w:rPr>
          <w:rFonts w:ascii="Times New Roman" w:hAnsi="Times New Roman" w:cs="Times New Roman"/>
          <w:lang w:val="en-US"/>
        </w:rPr>
      </w:pPr>
    </w:p>
    <w:p w14:paraId="5C30975E" w14:textId="77777777" w:rsidR="008D1BEF" w:rsidRDefault="008D1BEF" w:rsidP="008D1BEF">
      <w:pPr>
        <w:spacing w:after="0"/>
        <w:jc w:val="center"/>
        <w:rPr>
          <w:rFonts w:ascii="Times New Roman" w:hAnsi="Times New Roman" w:cs="Times New Roman"/>
          <w:lang w:val="en-US"/>
        </w:rPr>
      </w:pPr>
    </w:p>
    <w:p w14:paraId="3387181E" w14:textId="77777777" w:rsidR="008D1BEF" w:rsidRDefault="008D1BEF" w:rsidP="001B3F12">
      <w:pPr>
        <w:spacing w:line="240" w:lineRule="auto"/>
        <w:ind w:left="284"/>
        <w:rPr>
          <w:rFonts w:ascii="Times New Roman" w:eastAsia="Times New Roman" w:hAnsi="Times New Roman" w:cs="Times New Roman"/>
          <w:b/>
          <w:bCs/>
        </w:rPr>
        <w:sectPr w:rsidR="008D1BEF" w:rsidSect="008D1BEF">
          <w:type w:val="evenPage"/>
          <w:pgSz w:w="11906" w:h="16838"/>
          <w:pgMar w:top="1440" w:right="1440" w:bottom="1440" w:left="1440" w:header="709" w:footer="709" w:gutter="0"/>
          <w:pgNumType w:fmt="lowerRoman" w:start="1"/>
          <w:cols w:space="720"/>
          <w:titlePg/>
          <w:docGrid w:linePitch="299"/>
        </w:sectPr>
      </w:pPr>
    </w:p>
    <w:p w14:paraId="16996C1C" w14:textId="314AFD4A" w:rsidR="008D1BEF" w:rsidRDefault="008D1BEF" w:rsidP="001B3F12">
      <w:pPr>
        <w:spacing w:line="240" w:lineRule="auto"/>
        <w:ind w:left="284"/>
        <w:rPr>
          <w:rFonts w:ascii="Times New Roman" w:eastAsia="Times New Roman" w:hAnsi="Times New Roman" w:cs="Times New Roman"/>
          <w:b/>
          <w:bCs/>
        </w:rPr>
      </w:pPr>
      <w:r>
        <w:rPr>
          <w:rFonts w:ascii="Times New Roman" w:eastAsia="Times New Roman" w:hAnsi="Times New Roman" w:cs="Times New Roman"/>
          <w:b/>
          <w:bCs/>
        </w:rPr>
        <w:t>Editor</w:t>
      </w:r>
    </w:p>
    <w:p w14:paraId="53276B42" w14:textId="7F9342C5" w:rsidR="008D1BEF" w:rsidRPr="008D1BEF" w:rsidRDefault="008D1BEF" w:rsidP="008D1BEF">
      <w:pPr>
        <w:spacing w:after="0" w:line="240" w:lineRule="auto"/>
        <w:ind w:left="284"/>
        <w:rPr>
          <w:rFonts w:ascii="Times New Roman" w:eastAsia="Times New Roman" w:hAnsi="Times New Roman" w:cs="Times New Roman"/>
        </w:rPr>
      </w:pPr>
      <w:r w:rsidRPr="008D1BEF">
        <w:rPr>
          <w:rFonts w:ascii="Times New Roman" w:eastAsia="Times New Roman" w:hAnsi="Times New Roman" w:cs="Times New Roman"/>
        </w:rPr>
        <w:t xml:space="preserve">Putu Wijangga </w:t>
      </w:r>
    </w:p>
    <w:p w14:paraId="673DF68F" w14:textId="21009972" w:rsidR="008D1BEF" w:rsidRPr="008D1BEF" w:rsidRDefault="008D1BEF" w:rsidP="008D1BEF">
      <w:pPr>
        <w:spacing w:after="0" w:line="240" w:lineRule="auto"/>
        <w:ind w:left="284"/>
        <w:rPr>
          <w:rFonts w:ascii="Times New Roman" w:eastAsia="Times New Roman" w:hAnsi="Times New Roman" w:cs="Times New Roman"/>
        </w:rPr>
      </w:pPr>
      <w:r w:rsidRPr="008D1BEF">
        <w:rPr>
          <w:rFonts w:ascii="Times New Roman" w:eastAsia="Times New Roman" w:hAnsi="Times New Roman" w:cs="Times New Roman"/>
        </w:rPr>
        <w:t>Susanto Febrian RD</w:t>
      </w:r>
    </w:p>
    <w:p w14:paraId="7373F45A" w14:textId="42722372" w:rsidR="008D1BEF" w:rsidRDefault="008D1BEF" w:rsidP="008D1BEF">
      <w:pPr>
        <w:spacing w:after="0" w:line="240" w:lineRule="auto"/>
        <w:ind w:left="284"/>
        <w:rPr>
          <w:rFonts w:ascii="Times New Roman" w:eastAsia="Times New Roman" w:hAnsi="Times New Roman" w:cs="Times New Roman"/>
        </w:rPr>
      </w:pPr>
      <w:r w:rsidRPr="008D1BEF">
        <w:rPr>
          <w:rFonts w:ascii="Times New Roman" w:eastAsia="Times New Roman" w:hAnsi="Times New Roman" w:cs="Times New Roman"/>
        </w:rPr>
        <w:t>Dwi Nurfadilah</w:t>
      </w:r>
    </w:p>
    <w:p w14:paraId="177F2534" w14:textId="77777777" w:rsidR="001E5818" w:rsidRDefault="001E5818" w:rsidP="008D1BEF">
      <w:pPr>
        <w:spacing w:after="0" w:line="240" w:lineRule="auto"/>
        <w:ind w:left="284"/>
        <w:rPr>
          <w:rFonts w:ascii="Times New Roman" w:eastAsia="Times New Roman" w:hAnsi="Times New Roman" w:cs="Times New Roman"/>
        </w:rPr>
      </w:pPr>
    </w:p>
    <w:p w14:paraId="67408802" w14:textId="2B33DBFC" w:rsidR="001E5818" w:rsidRDefault="001E5818" w:rsidP="008D1BEF">
      <w:pPr>
        <w:spacing w:after="0" w:line="240" w:lineRule="auto"/>
        <w:ind w:left="284"/>
        <w:rPr>
          <w:rFonts w:ascii="Times New Roman" w:eastAsia="Times New Roman" w:hAnsi="Times New Roman" w:cs="Times New Roman"/>
        </w:rPr>
      </w:pPr>
      <w:proofErr w:type="spellStart"/>
      <w:r w:rsidRPr="001E5818">
        <w:rPr>
          <w:rFonts w:ascii="Times New Roman" w:eastAsia="Times New Roman" w:hAnsi="Times New Roman" w:cs="Times New Roman"/>
          <w:b/>
          <w:bCs/>
        </w:rPr>
        <w:t>Printed</w:t>
      </w:r>
      <w:proofErr w:type="spellEnd"/>
      <w:r w:rsidRPr="001E5818">
        <w:rPr>
          <w:rFonts w:ascii="Times New Roman" w:eastAsia="Times New Roman" w:hAnsi="Times New Roman" w:cs="Times New Roman"/>
          <w:b/>
          <w:bCs/>
        </w:rPr>
        <w:t xml:space="preserve"> I</w:t>
      </w:r>
      <w:r>
        <w:rPr>
          <w:rFonts w:ascii="Times New Roman" w:eastAsia="Times New Roman" w:hAnsi="Times New Roman" w:cs="Times New Roman"/>
        </w:rPr>
        <w:t xml:space="preserve"> 2024</w:t>
      </w:r>
    </w:p>
    <w:p w14:paraId="155BA6DF" w14:textId="31D44BF6" w:rsidR="001E5818" w:rsidRDefault="001E5818" w:rsidP="008D1BEF">
      <w:pPr>
        <w:spacing w:after="0" w:line="240" w:lineRule="auto"/>
        <w:ind w:left="284"/>
        <w:rPr>
          <w:rFonts w:ascii="Times New Roman" w:eastAsia="Times New Roman" w:hAnsi="Times New Roman" w:cs="Times New Roman"/>
        </w:rPr>
      </w:pPr>
      <w:r w:rsidRPr="001E5818">
        <w:rPr>
          <w:rFonts w:ascii="Times New Roman" w:eastAsia="Times New Roman" w:hAnsi="Times New Roman" w:cs="Times New Roman"/>
          <w:b/>
          <w:bCs/>
        </w:rPr>
        <w:t>ISSN</w:t>
      </w:r>
      <w:r>
        <w:rPr>
          <w:rFonts w:ascii="Times New Roman" w:eastAsia="Times New Roman" w:hAnsi="Times New Roman" w:cs="Times New Roman"/>
        </w:rPr>
        <w:t>: 3026-7218</w:t>
      </w:r>
    </w:p>
    <w:p w14:paraId="2A5403D8" w14:textId="77777777" w:rsidR="001E5818" w:rsidRPr="008D1BEF" w:rsidRDefault="001E5818" w:rsidP="008D1BEF">
      <w:pPr>
        <w:spacing w:after="0" w:line="240" w:lineRule="auto"/>
        <w:ind w:left="284"/>
        <w:rPr>
          <w:rFonts w:ascii="Times New Roman" w:eastAsia="Times New Roman" w:hAnsi="Times New Roman" w:cs="Times New Roman"/>
        </w:rPr>
      </w:pPr>
    </w:p>
    <w:p w14:paraId="213666CF" w14:textId="74E88093" w:rsidR="001B3F12" w:rsidRPr="007749FE" w:rsidRDefault="001B3F12" w:rsidP="001B3F12">
      <w:pPr>
        <w:spacing w:line="240" w:lineRule="auto"/>
        <w:ind w:left="284"/>
        <w:rPr>
          <w:rFonts w:ascii="Times New Roman" w:eastAsia="Times New Roman" w:hAnsi="Times New Roman" w:cs="Times New Roman"/>
        </w:rPr>
      </w:pPr>
      <w:proofErr w:type="spellStart"/>
      <w:r w:rsidRPr="007749FE">
        <w:rPr>
          <w:rFonts w:ascii="Times New Roman" w:eastAsia="Times New Roman" w:hAnsi="Times New Roman" w:cs="Times New Roman"/>
          <w:b/>
          <w:bCs/>
        </w:rPr>
        <w:t>Overseer</w:t>
      </w:r>
      <w:proofErr w:type="spellEnd"/>
      <w:r w:rsidRPr="007749FE">
        <w:rPr>
          <w:rFonts w:ascii="Times New Roman" w:eastAsia="Times New Roman" w:hAnsi="Times New Roman" w:cs="Times New Roman"/>
        </w:rPr>
        <w:t xml:space="preserve"> : Prof. Dr. Phil. Sukri, M.Si. </w:t>
      </w:r>
    </w:p>
    <w:p w14:paraId="06710C41" w14:textId="77777777" w:rsidR="001B3F12" w:rsidRPr="007749FE" w:rsidRDefault="001B3F12" w:rsidP="001B3F12">
      <w:pPr>
        <w:spacing w:line="240" w:lineRule="auto"/>
        <w:ind w:left="284"/>
        <w:rPr>
          <w:rFonts w:ascii="Times New Roman" w:eastAsia="Times New Roman" w:hAnsi="Times New Roman" w:cs="Times New Roman"/>
        </w:rPr>
      </w:pPr>
      <w:r w:rsidRPr="001B3F12">
        <w:rPr>
          <w:rFonts w:ascii="Times New Roman" w:eastAsia="Times New Roman" w:hAnsi="Times New Roman" w:cs="Times New Roman"/>
          <w:b/>
          <w:bCs/>
        </w:rPr>
        <w:t xml:space="preserve">Advisors </w:t>
      </w:r>
      <w:r w:rsidRPr="001B3F12">
        <w:rPr>
          <w:rFonts w:ascii="Times New Roman" w:eastAsia="Times New Roman" w:hAnsi="Times New Roman" w:cs="Times New Roman"/>
        </w:rPr>
        <w:t>: Prof. Dr. Hasniati, S.Sos., M.Si.</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Dr. Moehammad Iqbal Sultan, M.Si.</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Dr. Suparman Abdullah, M.Si.</w:t>
      </w:r>
      <w:r w:rsidRPr="007749FE">
        <w:rPr>
          <w:rFonts w:ascii="Times New Roman" w:eastAsia="Times New Roman" w:hAnsi="Times New Roman" w:cs="Times New Roman"/>
        </w:rPr>
        <w:t xml:space="preserve">, Dr. Safriadi, S.IP., M.Si. </w:t>
      </w:r>
    </w:p>
    <w:p w14:paraId="58925735" w14:textId="77777777" w:rsidR="001B3F12" w:rsidRPr="007749FE" w:rsidRDefault="001B3F12" w:rsidP="001B3F12">
      <w:pPr>
        <w:spacing w:line="240" w:lineRule="auto"/>
        <w:ind w:left="284"/>
        <w:rPr>
          <w:rFonts w:ascii="Times New Roman" w:eastAsia="Times New Roman" w:hAnsi="Times New Roman" w:cs="Times New Roman"/>
        </w:rPr>
      </w:pPr>
      <w:r w:rsidRPr="001B3F12">
        <w:rPr>
          <w:rFonts w:ascii="Times New Roman" w:eastAsia="Times New Roman" w:hAnsi="Times New Roman" w:cs="Times New Roman"/>
          <w:b/>
          <w:bCs/>
        </w:rPr>
        <w:t>Supervisors</w:t>
      </w:r>
      <w:r w:rsidRPr="001B3F12">
        <w:rPr>
          <w:rFonts w:ascii="Times New Roman" w:eastAsia="Times New Roman" w:hAnsi="Times New Roman" w:cs="Times New Roman"/>
        </w:rPr>
        <w:t xml:space="preserve"> : Dr. Ariana, S.IP., M.Si.</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Dr. Ahmad Ismail, S.Sos., M.Si.</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Andi Ahmad Yani, S.Sos, M.Si,. M.PA., M.Sc</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Muhammad Chaeroel Ansar, SIP., M.Sc.</w:t>
      </w:r>
      <w:r w:rsidRPr="007749FE">
        <w:rPr>
          <w:rFonts w:ascii="Times New Roman" w:eastAsia="Times New Roman" w:hAnsi="Times New Roman" w:cs="Times New Roman"/>
        </w:rPr>
        <w:t xml:space="preserve">, </w:t>
      </w:r>
      <w:r w:rsidRPr="001B3F12">
        <w:rPr>
          <w:rFonts w:ascii="Times New Roman" w:eastAsia="Times New Roman" w:hAnsi="Times New Roman" w:cs="Times New Roman"/>
        </w:rPr>
        <w:t>Andi Batara Al Isra, S.Sos., MA.</w:t>
      </w:r>
      <w:r w:rsidRPr="007749FE">
        <w:rPr>
          <w:rFonts w:ascii="Times New Roman" w:eastAsia="Times New Roman" w:hAnsi="Times New Roman" w:cs="Times New Roman"/>
        </w:rPr>
        <w:t xml:space="preserve">, Dian Ekawaty, S.IP., M,Si. </w:t>
      </w:r>
    </w:p>
    <w:p w14:paraId="1C7B8C8E" w14:textId="1B4D45CF" w:rsidR="001B3F12" w:rsidRPr="001B3F12" w:rsidRDefault="001B3F12" w:rsidP="001B3F12">
      <w:pPr>
        <w:spacing w:line="240" w:lineRule="auto"/>
        <w:ind w:left="284"/>
        <w:rPr>
          <w:rFonts w:ascii="Times New Roman" w:eastAsia="Times New Roman" w:hAnsi="Times New Roman" w:cs="Times New Roman"/>
          <w:lang w:val="en-ID"/>
        </w:rPr>
      </w:pPr>
      <w:r w:rsidRPr="001B3F12">
        <w:rPr>
          <w:rFonts w:ascii="Times New Roman" w:eastAsia="Times New Roman" w:hAnsi="Times New Roman" w:cs="Times New Roman"/>
          <w:b/>
          <w:bCs/>
          <w:lang w:val="en-ID"/>
        </w:rPr>
        <w:t xml:space="preserve">Person In </w:t>
      </w:r>
      <w:proofErr w:type="gramStart"/>
      <w:r w:rsidRPr="001B3F12">
        <w:rPr>
          <w:rFonts w:ascii="Times New Roman" w:eastAsia="Times New Roman" w:hAnsi="Times New Roman" w:cs="Times New Roman"/>
          <w:b/>
          <w:bCs/>
          <w:lang w:val="en-ID"/>
        </w:rPr>
        <w:t>Charge</w:t>
      </w:r>
      <w:r w:rsidRPr="001B3F12">
        <w:rPr>
          <w:rFonts w:ascii="Times New Roman" w:eastAsia="Times New Roman" w:hAnsi="Times New Roman" w:cs="Times New Roman"/>
          <w:lang w:val="en-ID"/>
        </w:rPr>
        <w:t xml:space="preserve"> :</w:t>
      </w:r>
      <w:proofErr w:type="gramEnd"/>
      <w:r w:rsidRPr="001B3F12">
        <w:rPr>
          <w:rFonts w:ascii="Times New Roman" w:eastAsia="Times New Roman" w:hAnsi="Times New Roman" w:cs="Times New Roman"/>
          <w:lang w:val="en-ID"/>
        </w:rPr>
        <w:t xml:space="preserve"> Achmad Nur </w:t>
      </w:r>
      <w:proofErr w:type="spellStart"/>
      <w:r w:rsidRPr="001B3F12">
        <w:rPr>
          <w:rFonts w:ascii="Times New Roman" w:eastAsia="Times New Roman" w:hAnsi="Times New Roman" w:cs="Times New Roman"/>
          <w:lang w:val="en-ID"/>
        </w:rPr>
        <w:t>Fiqry</w:t>
      </w:r>
      <w:proofErr w:type="spellEnd"/>
      <w:r w:rsidRPr="001B3F12">
        <w:rPr>
          <w:rFonts w:ascii="Times New Roman" w:eastAsia="Times New Roman" w:hAnsi="Times New Roman" w:cs="Times New Roman"/>
          <w:lang w:val="en-ID"/>
        </w:rPr>
        <w:t xml:space="preserve"> </w:t>
      </w:r>
    </w:p>
    <w:p w14:paraId="4ACBF269" w14:textId="77BFD651" w:rsidR="001B3F12" w:rsidRPr="001B3F12" w:rsidRDefault="001B3F12" w:rsidP="001B3F12">
      <w:pPr>
        <w:spacing w:line="240" w:lineRule="auto"/>
        <w:ind w:left="284"/>
        <w:rPr>
          <w:rFonts w:ascii="Times New Roman" w:eastAsia="Times New Roman" w:hAnsi="Times New Roman" w:cs="Times New Roman"/>
          <w:lang w:val="en-ID"/>
        </w:rPr>
      </w:pPr>
      <w:r w:rsidRPr="001B3F12">
        <w:rPr>
          <w:rFonts w:ascii="Times New Roman" w:eastAsia="Times New Roman" w:hAnsi="Times New Roman" w:cs="Times New Roman"/>
          <w:b/>
          <w:bCs/>
          <w:lang w:val="en-ID"/>
        </w:rPr>
        <w:t xml:space="preserve">Project </w:t>
      </w:r>
      <w:proofErr w:type="gramStart"/>
      <w:r w:rsidRPr="001B3F12">
        <w:rPr>
          <w:rFonts w:ascii="Times New Roman" w:eastAsia="Times New Roman" w:hAnsi="Times New Roman" w:cs="Times New Roman"/>
          <w:b/>
          <w:bCs/>
          <w:lang w:val="en-ID"/>
        </w:rPr>
        <w:t>Leader</w:t>
      </w:r>
      <w:r w:rsidRPr="001B3F12">
        <w:rPr>
          <w:rFonts w:ascii="Times New Roman" w:eastAsia="Times New Roman" w:hAnsi="Times New Roman" w:cs="Times New Roman"/>
          <w:lang w:val="en-ID"/>
        </w:rPr>
        <w:t xml:space="preserve"> :</w:t>
      </w:r>
      <w:proofErr w:type="gramEnd"/>
      <w:r w:rsidRPr="001B3F12">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Lutfiyatun</w:t>
      </w:r>
      <w:proofErr w:type="spellEnd"/>
      <w:r w:rsidRPr="001B3F12">
        <w:rPr>
          <w:rFonts w:ascii="Times New Roman" w:eastAsia="Times New Roman" w:hAnsi="Times New Roman" w:cs="Times New Roman"/>
          <w:lang w:val="en-ID"/>
        </w:rPr>
        <w:t xml:space="preserve"> Hasanah</w:t>
      </w:r>
    </w:p>
    <w:p w14:paraId="0D1F8349" w14:textId="02A473A7" w:rsidR="001B3F12" w:rsidRPr="001B3F12" w:rsidRDefault="001B3F12" w:rsidP="001B3F12">
      <w:pPr>
        <w:spacing w:line="240" w:lineRule="auto"/>
        <w:ind w:left="284"/>
        <w:rPr>
          <w:rFonts w:ascii="Times New Roman" w:eastAsia="Times New Roman" w:hAnsi="Times New Roman" w:cs="Times New Roman"/>
          <w:lang w:val="en-ID"/>
        </w:rPr>
      </w:pPr>
      <w:proofErr w:type="gramStart"/>
      <w:r w:rsidRPr="001B3F12">
        <w:rPr>
          <w:rFonts w:ascii="Times New Roman" w:eastAsia="Times New Roman" w:hAnsi="Times New Roman" w:cs="Times New Roman"/>
          <w:b/>
          <w:bCs/>
          <w:lang w:val="en-ID"/>
        </w:rPr>
        <w:t>Secretary</w:t>
      </w:r>
      <w:r w:rsidRPr="001B3F12">
        <w:rPr>
          <w:rFonts w:ascii="Times New Roman" w:eastAsia="Times New Roman" w:hAnsi="Times New Roman" w:cs="Times New Roman"/>
          <w:lang w:val="en-ID"/>
        </w:rPr>
        <w:t xml:space="preserve"> :</w:t>
      </w:r>
      <w:proofErr w:type="gramEnd"/>
      <w:r w:rsidRPr="001B3F12">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Fathul</w:t>
      </w:r>
      <w:proofErr w:type="spellEnd"/>
      <w:r w:rsidRPr="001B3F12">
        <w:rPr>
          <w:rFonts w:ascii="Times New Roman" w:eastAsia="Times New Roman" w:hAnsi="Times New Roman" w:cs="Times New Roman"/>
          <w:lang w:val="en-ID"/>
        </w:rPr>
        <w:t xml:space="preserve"> Khaery </w:t>
      </w:r>
    </w:p>
    <w:p w14:paraId="6F0E76D8" w14:textId="77777777" w:rsidR="001B3F12" w:rsidRPr="007749FE" w:rsidRDefault="001B3F12" w:rsidP="001B3F12">
      <w:pPr>
        <w:spacing w:line="240" w:lineRule="auto"/>
        <w:ind w:left="284"/>
        <w:rPr>
          <w:rFonts w:ascii="Times New Roman" w:eastAsia="Times New Roman" w:hAnsi="Times New Roman" w:cs="Times New Roman"/>
          <w:lang w:val="en-ID"/>
        </w:rPr>
      </w:pPr>
      <w:proofErr w:type="gramStart"/>
      <w:r w:rsidRPr="007749FE">
        <w:rPr>
          <w:rFonts w:ascii="Times New Roman" w:eastAsia="Times New Roman" w:hAnsi="Times New Roman" w:cs="Times New Roman"/>
          <w:b/>
          <w:bCs/>
          <w:lang w:val="en-ID"/>
        </w:rPr>
        <w:t>Treasurer</w:t>
      </w:r>
      <w:r w:rsidRPr="007749FE">
        <w:rPr>
          <w:rFonts w:ascii="Times New Roman" w:eastAsia="Times New Roman" w:hAnsi="Times New Roman" w:cs="Times New Roman"/>
          <w:lang w:val="en-ID"/>
        </w:rPr>
        <w:t xml:space="preserve"> :</w:t>
      </w:r>
      <w:proofErr w:type="gramEnd"/>
      <w:r w:rsidRPr="007749FE">
        <w:rPr>
          <w:rFonts w:ascii="Times New Roman" w:eastAsia="Times New Roman" w:hAnsi="Times New Roman" w:cs="Times New Roman"/>
          <w:lang w:val="en-ID"/>
        </w:rPr>
        <w:t xml:space="preserve"> Nur </w:t>
      </w:r>
      <w:proofErr w:type="spellStart"/>
      <w:r w:rsidRPr="007749FE">
        <w:rPr>
          <w:rFonts w:ascii="Times New Roman" w:eastAsia="Times New Roman" w:hAnsi="Times New Roman" w:cs="Times New Roman"/>
          <w:lang w:val="en-ID"/>
        </w:rPr>
        <w:t>Ainun</w:t>
      </w:r>
      <w:proofErr w:type="spellEnd"/>
      <w:r w:rsidRPr="007749FE">
        <w:rPr>
          <w:rFonts w:ascii="Times New Roman" w:eastAsia="Times New Roman" w:hAnsi="Times New Roman" w:cs="Times New Roman"/>
          <w:lang w:val="en-ID"/>
        </w:rPr>
        <w:t xml:space="preserve"> Musdalifah </w:t>
      </w:r>
    </w:p>
    <w:p w14:paraId="31DD9754" w14:textId="77777777" w:rsidR="001B3F12" w:rsidRPr="001B3F12" w:rsidRDefault="001B3F12" w:rsidP="001B3F12">
      <w:pPr>
        <w:spacing w:line="240" w:lineRule="auto"/>
        <w:ind w:left="284"/>
        <w:rPr>
          <w:rFonts w:ascii="Times New Roman" w:eastAsia="Times New Roman" w:hAnsi="Times New Roman" w:cs="Times New Roman"/>
          <w:b/>
          <w:bCs/>
          <w:lang w:val="en-ID"/>
        </w:rPr>
      </w:pPr>
      <w:r w:rsidRPr="001B3F12">
        <w:rPr>
          <w:rFonts w:ascii="Times New Roman" w:eastAsia="Times New Roman" w:hAnsi="Times New Roman" w:cs="Times New Roman"/>
          <w:b/>
          <w:bCs/>
          <w:lang w:val="en-ID"/>
        </w:rPr>
        <w:t>EVENT DIVISION</w:t>
      </w:r>
    </w:p>
    <w:p w14:paraId="1D033999" w14:textId="2B6C00B6" w:rsidR="001B3F12" w:rsidRPr="001B3F12" w:rsidRDefault="001B3F12" w:rsidP="001B3F12">
      <w:pPr>
        <w:spacing w:line="240" w:lineRule="auto"/>
        <w:ind w:left="284"/>
        <w:rPr>
          <w:rFonts w:ascii="Times New Roman" w:eastAsia="Times New Roman" w:hAnsi="Times New Roman" w:cs="Times New Roman"/>
          <w:lang w:val="en-ID"/>
        </w:rPr>
      </w:pPr>
      <w:r w:rsidRPr="001B3F12">
        <w:rPr>
          <w:rFonts w:ascii="Times New Roman" w:eastAsia="Times New Roman" w:hAnsi="Times New Roman" w:cs="Times New Roman"/>
          <w:b/>
          <w:bCs/>
          <w:lang w:val="en-ID"/>
        </w:rPr>
        <w:t xml:space="preserve">Head Of </w:t>
      </w:r>
      <w:proofErr w:type="gramStart"/>
      <w:r w:rsidRPr="001B3F12">
        <w:rPr>
          <w:rFonts w:ascii="Times New Roman" w:eastAsia="Times New Roman" w:hAnsi="Times New Roman" w:cs="Times New Roman"/>
          <w:b/>
          <w:bCs/>
          <w:lang w:val="en-ID"/>
        </w:rPr>
        <w:t>Events</w:t>
      </w:r>
      <w:r w:rsidRPr="001B3F12">
        <w:rPr>
          <w:rFonts w:ascii="Times New Roman" w:eastAsia="Times New Roman" w:hAnsi="Times New Roman" w:cs="Times New Roman"/>
          <w:lang w:val="en-ID"/>
        </w:rPr>
        <w:t xml:space="preserve"> :</w:t>
      </w:r>
      <w:proofErr w:type="gramEnd"/>
      <w:r w:rsidRPr="001B3F12">
        <w:rPr>
          <w:rFonts w:ascii="Times New Roman" w:eastAsia="Times New Roman" w:hAnsi="Times New Roman" w:cs="Times New Roman"/>
          <w:lang w:val="en-ID"/>
        </w:rPr>
        <w:t xml:space="preserve"> Jordan Christofer Liaury</w:t>
      </w:r>
    </w:p>
    <w:p w14:paraId="24F7E9D0" w14:textId="39AF990C" w:rsidR="001B3F12" w:rsidRPr="001B3F12" w:rsidRDefault="001B3F12" w:rsidP="001B3F12">
      <w:pPr>
        <w:spacing w:line="240" w:lineRule="auto"/>
        <w:ind w:left="284"/>
        <w:rPr>
          <w:rFonts w:ascii="Times New Roman" w:eastAsia="Times New Roman" w:hAnsi="Times New Roman" w:cs="Times New Roman"/>
          <w:i/>
          <w:iCs/>
          <w:lang w:val="en-ID"/>
        </w:rPr>
      </w:pPr>
      <w:r w:rsidRPr="001B3F12">
        <w:rPr>
          <w:rFonts w:ascii="Times New Roman" w:eastAsia="Times New Roman" w:hAnsi="Times New Roman" w:cs="Times New Roman"/>
          <w:i/>
          <w:iCs/>
          <w:lang w:val="en-ID"/>
        </w:rPr>
        <w:t>Workshop &amp; Conference</w:t>
      </w:r>
      <w:r w:rsidRPr="001B3F12">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Wardania</w:t>
      </w:r>
      <w:proofErr w:type="spellEnd"/>
      <w:r w:rsidRPr="001B3F12">
        <w:rPr>
          <w:rFonts w:ascii="Times New Roman" w:eastAsia="Times New Roman" w:hAnsi="Times New Roman" w:cs="Times New Roman"/>
          <w:lang w:val="en-ID"/>
        </w:rPr>
        <w:t xml:space="preserve"> Wahyu</w:t>
      </w:r>
      <w:r w:rsidRPr="007749FE">
        <w:rPr>
          <w:rFonts w:ascii="Times New Roman" w:eastAsia="Times New Roman" w:hAnsi="Times New Roman" w:cs="Times New Roman"/>
          <w:lang w:val="en-ID"/>
        </w:rPr>
        <w:t>,</w:t>
      </w:r>
      <w:r w:rsidRPr="001B3F12">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Miftahul</w:t>
      </w:r>
      <w:proofErr w:type="spellEnd"/>
      <w:r w:rsidRPr="001B3F12">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Labiib</w:t>
      </w:r>
      <w:proofErr w:type="spellEnd"/>
      <w:r w:rsidRPr="001B3F12">
        <w:rPr>
          <w:rFonts w:ascii="Times New Roman" w:eastAsia="Times New Roman" w:hAnsi="Times New Roman" w:cs="Times New Roman"/>
          <w:lang w:val="en-ID"/>
        </w:rPr>
        <w:t xml:space="preserve"> Syam</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Andi Farhan Fauzi</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Lutfi Al-</w:t>
      </w:r>
      <w:proofErr w:type="spellStart"/>
      <w:r w:rsidRPr="001B3F12">
        <w:rPr>
          <w:rFonts w:ascii="Times New Roman" w:eastAsia="Times New Roman" w:hAnsi="Times New Roman" w:cs="Times New Roman"/>
          <w:lang w:val="en-ID"/>
        </w:rPr>
        <w:t>Fiah</w:t>
      </w:r>
      <w:proofErr w:type="spellEnd"/>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Sitti Aulia Puspita</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Nabilah Rajwa Suhaimah</w:t>
      </w:r>
      <w:r w:rsidRPr="007749FE">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Isthiqosah</w:t>
      </w:r>
      <w:proofErr w:type="spellEnd"/>
      <w:r w:rsidRPr="001B3F12">
        <w:rPr>
          <w:rFonts w:ascii="Times New Roman" w:eastAsia="Times New Roman" w:hAnsi="Times New Roman" w:cs="Times New Roman"/>
          <w:lang w:val="en-ID"/>
        </w:rPr>
        <w:t xml:space="preserve"> Shalsa Naqiyyah</w:t>
      </w:r>
      <w:r w:rsidRPr="007749FE">
        <w:rPr>
          <w:rFonts w:ascii="Times New Roman" w:eastAsia="Times New Roman" w:hAnsi="Times New Roman" w:cs="Times New Roman"/>
          <w:lang w:val="en-ID"/>
        </w:rPr>
        <w:t>.</w:t>
      </w:r>
    </w:p>
    <w:p w14:paraId="464D15DF" w14:textId="68BC149D" w:rsidR="001B3F12" w:rsidRPr="007749FE" w:rsidRDefault="001B3F12" w:rsidP="001B3F12">
      <w:pPr>
        <w:spacing w:line="240" w:lineRule="auto"/>
        <w:ind w:left="284"/>
        <w:rPr>
          <w:rFonts w:ascii="Times New Roman" w:eastAsia="Times New Roman" w:hAnsi="Times New Roman" w:cs="Times New Roman"/>
          <w:lang w:val="en-ID"/>
        </w:rPr>
      </w:pPr>
      <w:r w:rsidRPr="001B3F12">
        <w:rPr>
          <w:rFonts w:ascii="Times New Roman" w:eastAsia="Times New Roman" w:hAnsi="Times New Roman" w:cs="Times New Roman"/>
          <w:i/>
          <w:iCs/>
          <w:lang w:val="en-ID"/>
        </w:rPr>
        <w:t>Call For Papers</w:t>
      </w:r>
      <w:r w:rsidRPr="001B3F12">
        <w:rPr>
          <w:rFonts w:ascii="Times New Roman" w:eastAsia="Times New Roman" w:hAnsi="Times New Roman" w:cs="Times New Roman"/>
          <w:lang w:val="en-ID"/>
        </w:rPr>
        <w:t>: Nur Aziza</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Amalya Dwi Keysa</w:t>
      </w:r>
      <w:r w:rsidRPr="007749FE">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Suif</w:t>
      </w:r>
      <w:proofErr w:type="spellEnd"/>
      <w:r w:rsidRPr="001B3F12">
        <w:rPr>
          <w:rFonts w:ascii="Times New Roman" w:eastAsia="Times New Roman" w:hAnsi="Times New Roman" w:cs="Times New Roman"/>
          <w:lang w:val="en-ID"/>
        </w:rPr>
        <w:t xml:space="preserve"> Al-Adawiyah</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Susanto Febrian RD</w:t>
      </w:r>
      <w:r w:rsidRPr="007749FE">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Dizha</w:t>
      </w:r>
      <w:proofErr w:type="spellEnd"/>
      <w:r w:rsidRPr="001B3F12">
        <w:rPr>
          <w:rFonts w:ascii="Times New Roman" w:eastAsia="Times New Roman" w:hAnsi="Times New Roman" w:cs="Times New Roman"/>
          <w:lang w:val="en-ID"/>
        </w:rPr>
        <w:t xml:space="preserve"> Resky Amalia Usman</w:t>
      </w:r>
      <w:r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Putu Wijangga</w:t>
      </w:r>
      <w:r w:rsidRPr="007749FE">
        <w:rPr>
          <w:rFonts w:ascii="Times New Roman" w:eastAsia="Times New Roman" w:hAnsi="Times New Roman" w:cs="Times New Roman"/>
          <w:lang w:val="en-ID"/>
        </w:rPr>
        <w:t>.</w:t>
      </w:r>
    </w:p>
    <w:p w14:paraId="6E73AB1F" w14:textId="146299D2" w:rsidR="001B3F12" w:rsidRPr="001B3F12" w:rsidRDefault="001B3F12" w:rsidP="001B3F12">
      <w:pPr>
        <w:spacing w:line="240" w:lineRule="auto"/>
        <w:ind w:left="284"/>
        <w:rPr>
          <w:rFonts w:ascii="Times New Roman" w:eastAsia="Times New Roman" w:hAnsi="Times New Roman" w:cs="Times New Roman"/>
          <w:b/>
          <w:bCs/>
          <w:lang w:val="en-ID"/>
        </w:rPr>
      </w:pPr>
      <w:r w:rsidRPr="007749FE">
        <w:rPr>
          <w:rFonts w:ascii="Times New Roman" w:eastAsia="Times New Roman" w:hAnsi="Times New Roman" w:cs="Times New Roman"/>
          <w:b/>
          <w:bCs/>
          <w:lang w:val="en-ID"/>
        </w:rPr>
        <w:t>Public Relations Division</w:t>
      </w:r>
    </w:p>
    <w:p w14:paraId="6678C1D7" w14:textId="1594EAAA" w:rsidR="001B3F12" w:rsidRPr="001B3F12" w:rsidRDefault="001B3F12" w:rsidP="001B3F12">
      <w:pPr>
        <w:spacing w:line="240" w:lineRule="auto"/>
        <w:ind w:left="284"/>
        <w:rPr>
          <w:rFonts w:ascii="Times New Roman" w:eastAsia="Times New Roman" w:hAnsi="Times New Roman" w:cs="Times New Roman"/>
          <w:i/>
          <w:iCs/>
          <w:lang w:val="en-ID"/>
        </w:rPr>
      </w:pPr>
      <w:r w:rsidRPr="001B3F12">
        <w:rPr>
          <w:rFonts w:ascii="Times New Roman" w:eastAsia="Times New Roman" w:hAnsi="Times New Roman" w:cs="Times New Roman"/>
          <w:b/>
          <w:bCs/>
          <w:i/>
          <w:iCs/>
          <w:lang w:val="en-ID"/>
        </w:rPr>
        <w:t xml:space="preserve">Head Of </w:t>
      </w:r>
      <w:proofErr w:type="gramStart"/>
      <w:r w:rsidRPr="001B3F12">
        <w:rPr>
          <w:rFonts w:ascii="Times New Roman" w:eastAsia="Times New Roman" w:hAnsi="Times New Roman" w:cs="Times New Roman"/>
          <w:b/>
          <w:bCs/>
          <w:i/>
          <w:iCs/>
          <w:lang w:val="en-ID"/>
        </w:rPr>
        <w:t>PR</w:t>
      </w:r>
      <w:r w:rsidRPr="001B3F12">
        <w:rPr>
          <w:rFonts w:ascii="Times New Roman" w:eastAsia="Times New Roman" w:hAnsi="Times New Roman" w:cs="Times New Roman"/>
          <w:i/>
          <w:iCs/>
          <w:lang w:val="en-ID"/>
        </w:rPr>
        <w:t xml:space="preserve"> :</w:t>
      </w:r>
      <w:proofErr w:type="gramEnd"/>
      <w:r w:rsidRPr="001B3F12">
        <w:rPr>
          <w:rFonts w:ascii="Times New Roman" w:eastAsia="Times New Roman" w:hAnsi="Times New Roman" w:cs="Times New Roman"/>
          <w:i/>
          <w:iCs/>
          <w:lang w:val="en-ID"/>
        </w:rPr>
        <w:t xml:space="preserve"> </w:t>
      </w:r>
      <w:r w:rsidRPr="001B3F12">
        <w:rPr>
          <w:rFonts w:ascii="Times New Roman" w:eastAsia="Times New Roman" w:hAnsi="Times New Roman" w:cs="Times New Roman"/>
          <w:lang w:val="en-ID"/>
        </w:rPr>
        <w:t>Rafli</w:t>
      </w:r>
    </w:p>
    <w:p w14:paraId="36DF74EA" w14:textId="3594FE10" w:rsidR="007749FE" w:rsidRPr="007749FE" w:rsidRDefault="001B3F12" w:rsidP="007749FE">
      <w:pPr>
        <w:spacing w:line="240" w:lineRule="auto"/>
        <w:ind w:left="284"/>
        <w:rPr>
          <w:rFonts w:ascii="Times New Roman" w:eastAsia="Times New Roman" w:hAnsi="Times New Roman" w:cs="Times New Roman"/>
          <w:lang w:val="en-ID"/>
        </w:rPr>
      </w:pPr>
      <w:proofErr w:type="gramStart"/>
      <w:r w:rsidRPr="001B3F12">
        <w:rPr>
          <w:rFonts w:ascii="Times New Roman" w:eastAsia="Times New Roman" w:hAnsi="Times New Roman" w:cs="Times New Roman"/>
          <w:i/>
          <w:iCs/>
          <w:lang w:val="en-ID"/>
        </w:rPr>
        <w:t>Participant :</w:t>
      </w:r>
      <w:proofErr w:type="gramEnd"/>
      <w:r w:rsidRPr="001B3F12">
        <w:rPr>
          <w:rFonts w:ascii="Times New Roman" w:eastAsia="Times New Roman" w:hAnsi="Times New Roman" w:cs="Times New Roman"/>
          <w:i/>
          <w:iCs/>
          <w:lang w:val="en-ID"/>
        </w:rPr>
        <w:t xml:space="preserve"> </w:t>
      </w:r>
      <w:r w:rsidRPr="001B3F12">
        <w:rPr>
          <w:rFonts w:ascii="Times New Roman" w:eastAsia="Times New Roman" w:hAnsi="Times New Roman" w:cs="Times New Roman"/>
          <w:lang w:val="en-ID"/>
        </w:rPr>
        <w:t>Reny Rahmawati</w:t>
      </w:r>
      <w:r w:rsidR="007749FE" w:rsidRPr="007749FE">
        <w:rPr>
          <w:rFonts w:ascii="Times New Roman" w:eastAsia="Times New Roman" w:hAnsi="Times New Roman" w:cs="Times New Roman"/>
          <w:i/>
          <w:iCs/>
          <w:lang w:val="en-ID"/>
        </w:rPr>
        <w:t>,</w:t>
      </w:r>
      <w:r w:rsidRPr="001B3F12">
        <w:rPr>
          <w:rFonts w:ascii="Times New Roman" w:eastAsia="Times New Roman" w:hAnsi="Times New Roman" w:cs="Times New Roman"/>
          <w:lang w:val="en-ID"/>
        </w:rPr>
        <w:t xml:space="preserve"> Hilda Amalia Kaharuddin</w:t>
      </w:r>
      <w:r w:rsidR="007749FE" w:rsidRPr="007749FE">
        <w:rPr>
          <w:rFonts w:ascii="Times New Roman" w:eastAsia="Times New Roman" w:hAnsi="Times New Roman" w:cs="Times New Roman"/>
          <w:lang w:val="en-ID"/>
        </w:rPr>
        <w:t xml:space="preserve">, </w:t>
      </w:r>
      <w:proofErr w:type="spellStart"/>
      <w:r w:rsidRPr="001B3F12">
        <w:rPr>
          <w:rFonts w:ascii="Times New Roman" w:eastAsia="Times New Roman" w:hAnsi="Times New Roman" w:cs="Times New Roman"/>
          <w:lang w:val="en-ID"/>
        </w:rPr>
        <w:t>Nindiya</w:t>
      </w:r>
      <w:proofErr w:type="spellEnd"/>
      <w:r w:rsidRPr="001B3F12">
        <w:rPr>
          <w:rFonts w:ascii="Times New Roman" w:eastAsia="Times New Roman" w:hAnsi="Times New Roman" w:cs="Times New Roman"/>
          <w:lang w:val="en-ID"/>
        </w:rPr>
        <w:t xml:space="preserve"> Sarah M</w:t>
      </w:r>
      <w:r w:rsidR="007749FE" w:rsidRPr="007749FE">
        <w:rPr>
          <w:rFonts w:ascii="Times New Roman" w:eastAsia="Times New Roman" w:hAnsi="Times New Roman" w:cs="Times New Roman"/>
          <w:lang w:val="en-ID"/>
        </w:rPr>
        <w:t xml:space="preserve">, </w:t>
      </w:r>
      <w:r w:rsidRPr="001B3F12">
        <w:rPr>
          <w:rFonts w:ascii="Times New Roman" w:eastAsia="Times New Roman" w:hAnsi="Times New Roman" w:cs="Times New Roman"/>
          <w:lang w:val="en-ID"/>
        </w:rPr>
        <w:t xml:space="preserve">Efraim Novert Owen </w:t>
      </w:r>
      <w:proofErr w:type="spellStart"/>
      <w:proofErr w:type="gramStart"/>
      <w:r w:rsidRPr="001B3F12">
        <w:rPr>
          <w:rFonts w:ascii="Times New Roman" w:eastAsia="Times New Roman" w:hAnsi="Times New Roman" w:cs="Times New Roman"/>
          <w:lang w:val="en-ID"/>
        </w:rPr>
        <w:t>Lewi</w:t>
      </w:r>
      <w:r w:rsidR="007749FE" w:rsidRPr="007749FE">
        <w:rPr>
          <w:rFonts w:ascii="Times New Roman" w:eastAsia="Times New Roman" w:hAnsi="Times New Roman" w:cs="Times New Roman"/>
          <w:lang w:val="en-ID"/>
        </w:rPr>
        <w:t>,</w:t>
      </w:r>
      <w:r w:rsidRPr="007749FE">
        <w:rPr>
          <w:rFonts w:ascii="Times New Roman" w:eastAsia="Times New Roman" w:hAnsi="Times New Roman" w:cs="Times New Roman"/>
          <w:lang w:val="en-ID"/>
        </w:rPr>
        <w:t>Raihan</w:t>
      </w:r>
      <w:proofErr w:type="spellEnd"/>
      <w:proofErr w:type="gram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Dzakira</w:t>
      </w:r>
      <w:proofErr w:type="spellEnd"/>
      <w:r w:rsidRPr="007749FE">
        <w:rPr>
          <w:rFonts w:ascii="Times New Roman" w:eastAsia="Times New Roman" w:hAnsi="Times New Roman" w:cs="Times New Roman"/>
          <w:lang w:val="en-ID"/>
        </w:rPr>
        <w:t xml:space="preserve"> Sudirman</w:t>
      </w:r>
      <w:r w:rsidR="007749FE" w:rsidRPr="007749FE">
        <w:rPr>
          <w:rFonts w:ascii="Times New Roman" w:eastAsia="Times New Roman" w:hAnsi="Times New Roman" w:cs="Times New Roman"/>
          <w:lang w:val="en-ID"/>
        </w:rPr>
        <w:t>.</w:t>
      </w:r>
    </w:p>
    <w:p w14:paraId="471DC2BE" w14:textId="7E1B8B07" w:rsidR="007749FE" w:rsidRPr="007749FE" w:rsidRDefault="007749FE" w:rsidP="007749FE">
      <w:pPr>
        <w:spacing w:line="240" w:lineRule="auto"/>
        <w:ind w:left="284"/>
        <w:rPr>
          <w:rFonts w:ascii="Times New Roman" w:eastAsia="Times New Roman" w:hAnsi="Times New Roman" w:cs="Times New Roman"/>
          <w:lang w:val="en-ID"/>
        </w:rPr>
      </w:pPr>
      <w:proofErr w:type="spellStart"/>
      <w:r w:rsidRPr="007749FE">
        <w:rPr>
          <w:rFonts w:ascii="Times New Roman" w:eastAsia="Times New Roman" w:hAnsi="Times New Roman" w:cs="Times New Roman"/>
          <w:i/>
          <w:iCs/>
          <w:lang w:val="en-ID"/>
        </w:rPr>
        <w:t>Sponsporship</w:t>
      </w:r>
      <w:proofErr w:type="spellEnd"/>
      <w:r w:rsidRPr="007749FE">
        <w:rPr>
          <w:rFonts w:ascii="Times New Roman" w:eastAsia="Times New Roman" w:hAnsi="Times New Roman" w:cs="Times New Roman"/>
          <w:i/>
          <w:iCs/>
          <w:lang w:val="en-ID"/>
        </w:rPr>
        <w:t xml:space="preserve"> &amp; Media Partner</w:t>
      </w:r>
      <w:r w:rsidRPr="007749FE">
        <w:rPr>
          <w:rFonts w:ascii="Times New Roman" w:eastAsia="Times New Roman" w:hAnsi="Times New Roman" w:cs="Times New Roman"/>
          <w:lang w:val="en-ID"/>
        </w:rPr>
        <w:t xml:space="preserve">: Astrid Meliani Herman, </w:t>
      </w:r>
      <w:proofErr w:type="spellStart"/>
      <w:proofErr w:type="gramStart"/>
      <w:r w:rsidRPr="007749FE">
        <w:rPr>
          <w:rFonts w:ascii="Times New Roman" w:eastAsia="Times New Roman" w:hAnsi="Times New Roman" w:cs="Times New Roman"/>
          <w:lang w:val="en-ID"/>
        </w:rPr>
        <w:t>Yolanda,Indah</w:t>
      </w:r>
      <w:proofErr w:type="spellEnd"/>
      <w:proofErr w:type="gram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Permatahaty</w:t>
      </w:r>
      <w:proofErr w:type="spellEnd"/>
      <w:r w:rsidRPr="007749FE">
        <w:rPr>
          <w:rFonts w:ascii="Times New Roman" w:eastAsia="Times New Roman" w:hAnsi="Times New Roman" w:cs="Times New Roman"/>
          <w:lang w:val="en-ID"/>
        </w:rPr>
        <w:t xml:space="preserve"> Mukhtar, Nur Halima Muhamad, Siti Aisyah Hamzah.</w:t>
      </w:r>
    </w:p>
    <w:p w14:paraId="18716C70" w14:textId="77777777" w:rsidR="007749FE" w:rsidRPr="007749FE" w:rsidRDefault="007749FE" w:rsidP="007749FE">
      <w:pPr>
        <w:spacing w:line="240" w:lineRule="auto"/>
        <w:ind w:left="284"/>
        <w:rPr>
          <w:rFonts w:ascii="Times New Roman" w:eastAsia="Times New Roman" w:hAnsi="Times New Roman" w:cs="Times New Roman"/>
          <w:b/>
          <w:bCs/>
          <w:lang w:val="en-ID"/>
        </w:rPr>
      </w:pPr>
      <w:r w:rsidRPr="007749FE">
        <w:rPr>
          <w:rFonts w:ascii="Times New Roman" w:eastAsia="Times New Roman" w:hAnsi="Times New Roman" w:cs="Times New Roman"/>
          <w:b/>
          <w:bCs/>
          <w:lang w:val="en-ID"/>
        </w:rPr>
        <w:t>Media and Publication Division</w:t>
      </w:r>
    </w:p>
    <w:p w14:paraId="5259C606" w14:textId="0C3F2D0D" w:rsidR="007749FE" w:rsidRPr="007749FE" w:rsidRDefault="007749FE" w:rsidP="007749FE">
      <w:pPr>
        <w:spacing w:line="240" w:lineRule="auto"/>
        <w:ind w:left="284"/>
        <w:rPr>
          <w:rFonts w:ascii="Times New Roman" w:eastAsia="Times New Roman" w:hAnsi="Times New Roman" w:cs="Times New Roman"/>
          <w:lang w:val="en-ID"/>
        </w:rPr>
      </w:pPr>
      <w:r w:rsidRPr="007749FE">
        <w:rPr>
          <w:rFonts w:ascii="Times New Roman" w:eastAsia="Times New Roman" w:hAnsi="Times New Roman" w:cs="Times New Roman"/>
          <w:b/>
          <w:bCs/>
          <w:lang w:val="en-ID"/>
        </w:rPr>
        <w:t xml:space="preserve">Head Of </w:t>
      </w:r>
      <w:proofErr w:type="gramStart"/>
      <w:r w:rsidRPr="007749FE">
        <w:rPr>
          <w:rFonts w:ascii="Times New Roman" w:eastAsia="Times New Roman" w:hAnsi="Times New Roman" w:cs="Times New Roman"/>
          <w:b/>
          <w:bCs/>
          <w:lang w:val="en-ID"/>
        </w:rPr>
        <w:t>MP</w:t>
      </w:r>
      <w:r w:rsidRPr="007749FE">
        <w:rPr>
          <w:rFonts w:ascii="Times New Roman" w:eastAsia="Times New Roman" w:hAnsi="Times New Roman" w:cs="Times New Roman"/>
          <w:lang w:val="en-ID"/>
        </w:rPr>
        <w:t xml:space="preserve"> :</w:t>
      </w:r>
      <w:proofErr w:type="gramEnd"/>
      <w:r w:rsidRPr="007749FE">
        <w:rPr>
          <w:rFonts w:ascii="Times New Roman" w:eastAsia="Times New Roman" w:hAnsi="Times New Roman" w:cs="Times New Roman"/>
          <w:lang w:val="en-ID"/>
        </w:rPr>
        <w:t xml:space="preserve"> Azra Syafiqah </w:t>
      </w:r>
    </w:p>
    <w:p w14:paraId="766AF522" w14:textId="7C62D781" w:rsidR="007749FE" w:rsidRPr="007749FE" w:rsidRDefault="007749FE" w:rsidP="007749FE">
      <w:pPr>
        <w:spacing w:line="240" w:lineRule="auto"/>
        <w:ind w:left="284"/>
        <w:rPr>
          <w:rFonts w:ascii="Times New Roman" w:eastAsia="Times New Roman" w:hAnsi="Times New Roman" w:cs="Times New Roman"/>
          <w:lang w:val="en-ID"/>
        </w:rPr>
      </w:pPr>
      <w:r w:rsidRPr="007749FE">
        <w:rPr>
          <w:rFonts w:ascii="Times New Roman" w:eastAsia="Times New Roman" w:hAnsi="Times New Roman" w:cs="Times New Roman"/>
          <w:i/>
          <w:iCs/>
          <w:lang w:val="en-ID"/>
        </w:rPr>
        <w:t>Graphic Design</w:t>
      </w:r>
      <w:r w:rsidRPr="007749FE">
        <w:rPr>
          <w:rFonts w:ascii="Times New Roman" w:eastAsia="Times New Roman" w:hAnsi="Times New Roman" w:cs="Times New Roman"/>
          <w:lang w:val="en-ID"/>
        </w:rPr>
        <w:t xml:space="preserve">: Dwi </w:t>
      </w:r>
      <w:proofErr w:type="spellStart"/>
      <w:r w:rsidRPr="007749FE">
        <w:rPr>
          <w:rFonts w:ascii="Times New Roman" w:eastAsia="Times New Roman" w:hAnsi="Times New Roman" w:cs="Times New Roman"/>
          <w:lang w:val="en-ID"/>
        </w:rPr>
        <w:t>Nurfadilah</w:t>
      </w:r>
      <w:proofErr w:type="spell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Hafsal</w:t>
      </w:r>
      <w:proofErr w:type="spellEnd"/>
      <w:r w:rsidRPr="007749FE">
        <w:rPr>
          <w:rFonts w:ascii="Times New Roman" w:eastAsia="Times New Roman" w:hAnsi="Times New Roman" w:cs="Times New Roman"/>
          <w:lang w:val="en-ID"/>
        </w:rPr>
        <w:t xml:space="preserve"> Mahendra, </w:t>
      </w:r>
      <w:proofErr w:type="spellStart"/>
      <w:r w:rsidRPr="007749FE">
        <w:rPr>
          <w:rFonts w:ascii="Times New Roman" w:eastAsia="Times New Roman" w:hAnsi="Times New Roman" w:cs="Times New Roman"/>
          <w:lang w:val="en-ID"/>
        </w:rPr>
        <w:t>Nirawati</w:t>
      </w:r>
      <w:proofErr w:type="spellEnd"/>
      <w:r w:rsidRPr="007749FE">
        <w:rPr>
          <w:rFonts w:ascii="Times New Roman" w:eastAsia="Times New Roman" w:hAnsi="Times New Roman" w:cs="Times New Roman"/>
          <w:lang w:val="en-ID"/>
        </w:rPr>
        <w:t xml:space="preserve">, Tita Andraena, Ayu Amanda Raymond, Muh. </w:t>
      </w:r>
      <w:proofErr w:type="spellStart"/>
      <w:r w:rsidRPr="007749FE">
        <w:rPr>
          <w:rFonts w:ascii="Times New Roman" w:eastAsia="Times New Roman" w:hAnsi="Times New Roman" w:cs="Times New Roman"/>
          <w:lang w:val="en-ID"/>
        </w:rPr>
        <w:t>Dzaki</w:t>
      </w:r>
      <w:proofErr w:type="spellEnd"/>
      <w:r w:rsidRPr="007749FE">
        <w:rPr>
          <w:rFonts w:ascii="Times New Roman" w:eastAsia="Times New Roman" w:hAnsi="Times New Roman" w:cs="Times New Roman"/>
          <w:lang w:val="en-ID"/>
        </w:rPr>
        <w:t xml:space="preserve"> Wiyanda Faiz, </w:t>
      </w:r>
      <w:proofErr w:type="spellStart"/>
      <w:r w:rsidRPr="007749FE">
        <w:rPr>
          <w:rFonts w:ascii="Times New Roman" w:eastAsia="Times New Roman" w:hAnsi="Times New Roman" w:cs="Times New Roman"/>
          <w:lang w:val="en-ID"/>
        </w:rPr>
        <w:t>Nadies</w:t>
      </w:r>
      <w:proofErr w:type="spell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Athiyah</w:t>
      </w:r>
      <w:proofErr w:type="spell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Fahriyah</w:t>
      </w:r>
      <w:proofErr w:type="spellEnd"/>
      <w:r w:rsidRPr="007749FE">
        <w:rPr>
          <w:rFonts w:ascii="Times New Roman" w:eastAsia="Times New Roman" w:hAnsi="Times New Roman" w:cs="Times New Roman"/>
          <w:lang w:val="en-ID"/>
        </w:rPr>
        <w:t>.</w:t>
      </w:r>
    </w:p>
    <w:p w14:paraId="13F76860" w14:textId="1F4B60C1" w:rsidR="007749FE" w:rsidRPr="001B3F12" w:rsidRDefault="007749FE" w:rsidP="007749FE">
      <w:pPr>
        <w:spacing w:line="240" w:lineRule="auto"/>
        <w:ind w:left="284"/>
        <w:rPr>
          <w:rFonts w:ascii="Times New Roman" w:eastAsia="Times New Roman" w:hAnsi="Times New Roman" w:cs="Times New Roman"/>
          <w:lang w:val="en-ID"/>
        </w:rPr>
      </w:pPr>
      <w:r w:rsidRPr="007749FE">
        <w:rPr>
          <w:rFonts w:ascii="Times New Roman" w:eastAsia="Times New Roman" w:hAnsi="Times New Roman" w:cs="Times New Roman"/>
          <w:i/>
          <w:iCs/>
          <w:lang w:val="en-ID"/>
        </w:rPr>
        <w:t>Content and Documentation</w:t>
      </w:r>
      <w:r w:rsidRPr="007749FE">
        <w:rPr>
          <w:rFonts w:ascii="Times New Roman" w:eastAsia="Times New Roman" w:hAnsi="Times New Roman" w:cs="Times New Roman"/>
          <w:lang w:val="en-ID"/>
        </w:rPr>
        <w:t xml:space="preserve">: Sri </w:t>
      </w:r>
      <w:proofErr w:type="spellStart"/>
      <w:r w:rsidRPr="007749FE">
        <w:rPr>
          <w:rFonts w:ascii="Times New Roman" w:eastAsia="Times New Roman" w:hAnsi="Times New Roman" w:cs="Times New Roman"/>
          <w:lang w:val="en-ID"/>
        </w:rPr>
        <w:t>Rizkhy</w:t>
      </w:r>
      <w:proofErr w:type="spellEnd"/>
      <w:r w:rsidRPr="007749FE">
        <w:rPr>
          <w:rFonts w:ascii="Times New Roman" w:eastAsia="Times New Roman" w:hAnsi="Times New Roman" w:cs="Times New Roman"/>
          <w:lang w:val="en-ID"/>
        </w:rPr>
        <w:t xml:space="preserve"> Saleh, </w:t>
      </w:r>
      <w:proofErr w:type="spellStart"/>
      <w:r w:rsidRPr="007749FE">
        <w:rPr>
          <w:rFonts w:ascii="Times New Roman" w:eastAsia="Times New Roman" w:hAnsi="Times New Roman" w:cs="Times New Roman"/>
          <w:lang w:val="en-ID"/>
        </w:rPr>
        <w:t>Hasmawati</w:t>
      </w:r>
      <w:proofErr w:type="spellEnd"/>
      <w:r w:rsidRPr="007749FE">
        <w:rPr>
          <w:rFonts w:ascii="Times New Roman" w:eastAsia="Times New Roman" w:hAnsi="Times New Roman" w:cs="Times New Roman"/>
          <w:lang w:val="en-ID"/>
        </w:rPr>
        <w:t xml:space="preserve">, </w:t>
      </w:r>
      <w:proofErr w:type="spellStart"/>
      <w:r w:rsidRPr="007749FE">
        <w:rPr>
          <w:rFonts w:ascii="Times New Roman" w:eastAsia="Times New Roman" w:hAnsi="Times New Roman" w:cs="Times New Roman"/>
          <w:lang w:val="en-ID"/>
        </w:rPr>
        <w:t>Ezriaty</w:t>
      </w:r>
      <w:proofErr w:type="spellEnd"/>
      <w:r w:rsidRPr="007749FE">
        <w:rPr>
          <w:rFonts w:ascii="Times New Roman" w:eastAsia="Times New Roman" w:hAnsi="Times New Roman" w:cs="Times New Roman"/>
          <w:lang w:val="en-ID"/>
        </w:rPr>
        <w:t xml:space="preserve"> Natalia, Ahmad Rifqih Ghazali, Edlyn Bestylista, Anita Najwa, Nadya Elvira.</w:t>
      </w:r>
    </w:p>
    <w:p w14:paraId="7AB327F2" w14:textId="77777777" w:rsidR="007749FE" w:rsidRDefault="007749FE" w:rsidP="001B3F12">
      <w:pPr>
        <w:spacing w:line="240" w:lineRule="auto"/>
        <w:ind w:left="284"/>
        <w:rPr>
          <w:rFonts w:ascii="Times New Roman" w:eastAsia="Times New Roman" w:hAnsi="Times New Roman" w:cs="Times New Roman"/>
          <w:sz w:val="18"/>
          <w:szCs w:val="18"/>
          <w:lang w:val="en-ID"/>
        </w:rPr>
        <w:sectPr w:rsidR="007749FE" w:rsidSect="008D1BEF">
          <w:type w:val="evenPage"/>
          <w:pgSz w:w="11906" w:h="16838"/>
          <w:pgMar w:top="1440" w:right="1440" w:bottom="1440" w:left="1440" w:header="709" w:footer="709" w:gutter="0"/>
          <w:pgNumType w:fmt="lowerRoman" w:start="1"/>
          <w:cols w:num="2" w:space="720"/>
          <w:titlePg/>
          <w:docGrid w:linePitch="299"/>
        </w:sectPr>
      </w:pPr>
    </w:p>
    <w:p w14:paraId="0920076B" w14:textId="74244F01" w:rsidR="008D1BEF" w:rsidRPr="001E5818" w:rsidRDefault="001B3F12" w:rsidP="001E5818">
      <w:pPr>
        <w:spacing w:line="240" w:lineRule="auto"/>
        <w:ind w:left="284"/>
        <w:rPr>
          <w:rFonts w:ascii="Times New Roman" w:eastAsia="Times New Roman" w:hAnsi="Times New Roman" w:cs="Times New Roman"/>
          <w:sz w:val="18"/>
          <w:szCs w:val="18"/>
        </w:rPr>
      </w:pPr>
      <w:r w:rsidRPr="007749FE">
        <w:rPr>
          <w:rFonts w:ascii="Times New Roman" w:eastAsia="Times New Roman" w:hAnsi="Times New Roman" w:cs="Times New Roman"/>
          <w:sz w:val="18"/>
          <w:szCs w:val="18"/>
          <w:lang w:val="en-ID"/>
        </w:rPr>
        <w:t xml:space="preserve"> </w:t>
      </w:r>
      <w:r w:rsidR="00317D6C">
        <w:rPr>
          <w:rFonts w:ascii="Times New Roman" w:eastAsia="Times New Roman" w:hAnsi="Times New Roman" w:cs="Times New Roman"/>
          <w:sz w:val="18"/>
          <w:szCs w:val="18"/>
        </w:rPr>
        <w:br w:type="page"/>
      </w:r>
    </w:p>
    <w:p w14:paraId="6A31F859" w14:textId="77777777" w:rsidR="008D1BEF" w:rsidRPr="008D1BEF" w:rsidRDefault="008D1BEF" w:rsidP="008D1BEF">
      <w:pPr>
        <w:spacing w:line="240" w:lineRule="auto"/>
        <w:ind w:left="284"/>
        <w:jc w:val="center"/>
        <w:rPr>
          <w:rFonts w:ascii="Times New Roman" w:eastAsia="Times New Roman" w:hAnsi="Times New Roman" w:cs="Times New Roman"/>
          <w:b/>
          <w:bCs/>
          <w:sz w:val="20"/>
          <w:szCs w:val="20"/>
          <w:lang w:val="en-US"/>
        </w:rPr>
      </w:pPr>
      <w:r w:rsidRPr="008D1BEF">
        <w:rPr>
          <w:rFonts w:ascii="Times New Roman" w:eastAsia="Times New Roman" w:hAnsi="Times New Roman" w:cs="Times New Roman"/>
          <w:b/>
          <w:bCs/>
          <w:sz w:val="20"/>
          <w:szCs w:val="20"/>
          <w:lang w:val="en-US"/>
        </w:rPr>
        <w:t>PREFACE</w:t>
      </w:r>
    </w:p>
    <w:p w14:paraId="1A115BA8" w14:textId="77777777" w:rsidR="008D1BEF" w:rsidRPr="008D1BEF" w:rsidRDefault="008D1BEF" w:rsidP="008D1BEF">
      <w:pPr>
        <w:spacing w:line="240" w:lineRule="auto"/>
        <w:ind w:left="284"/>
        <w:rPr>
          <w:rFonts w:ascii="Times New Roman" w:eastAsia="Times New Roman" w:hAnsi="Times New Roman" w:cs="Times New Roman"/>
          <w:sz w:val="20"/>
          <w:szCs w:val="20"/>
          <w:lang w:val="en-US"/>
        </w:rPr>
      </w:pPr>
    </w:p>
    <w:p w14:paraId="26F5F009" w14:textId="77777777" w:rsidR="008D1BEF" w:rsidRPr="008D1BEF" w:rsidRDefault="008D1BEF" w:rsidP="008D1BEF">
      <w:pPr>
        <w:spacing w:line="240" w:lineRule="auto"/>
        <w:ind w:left="284"/>
        <w:rPr>
          <w:rFonts w:ascii="Times New Roman" w:eastAsia="Times New Roman" w:hAnsi="Times New Roman" w:cs="Times New Roman"/>
          <w:sz w:val="20"/>
          <w:szCs w:val="20"/>
          <w:lang w:val="en-US"/>
        </w:rPr>
      </w:pPr>
      <w:r w:rsidRPr="008D1BEF">
        <w:rPr>
          <w:rFonts w:ascii="Times New Roman" w:eastAsia="Times New Roman" w:hAnsi="Times New Roman" w:cs="Times New Roman"/>
          <w:sz w:val="20"/>
          <w:szCs w:val="20"/>
          <w:lang w:val="en-US"/>
        </w:rPr>
        <w:t>In an increasingly advanced digital era, Artificial Intelligence (AI) has become one of the main pillars of technological innovation and social transformation. Advancements in AI are not only affecting the way we work and interact, but also have a significant impact on social and political structures around the world. From recommendation systems, social media that shape public opinion, to algorithms that influence public and economic policy, AI is increasingly integrated into public policy and economics, AI is increasingly integrated in various aspects of our lives.</w:t>
      </w:r>
    </w:p>
    <w:p w14:paraId="44063EFE" w14:textId="77777777" w:rsidR="008D1BEF" w:rsidRPr="008D1BEF" w:rsidRDefault="008D1BEF" w:rsidP="008D1BEF">
      <w:pPr>
        <w:spacing w:line="240" w:lineRule="auto"/>
        <w:ind w:left="284"/>
        <w:rPr>
          <w:rFonts w:ascii="Times New Roman" w:eastAsia="Times New Roman" w:hAnsi="Times New Roman" w:cs="Times New Roman"/>
          <w:sz w:val="20"/>
          <w:szCs w:val="20"/>
          <w:lang w:val="en-US"/>
        </w:rPr>
      </w:pPr>
      <w:r w:rsidRPr="008D1BEF">
        <w:rPr>
          <w:rFonts w:ascii="Times New Roman" w:eastAsia="Times New Roman" w:hAnsi="Times New Roman" w:cs="Times New Roman"/>
          <w:sz w:val="20"/>
          <w:szCs w:val="20"/>
          <w:lang w:val="en-US"/>
        </w:rPr>
        <w:t>HGSC 2024 aims to facilitate a constructive and evidence-based dialog on the role and impact of AI in modern society. Featuring a diverse lineup invited speakers from various backgrounds and countries, so we can understand about the topics more. Also, this proceeding contains scientific analysis related to AI theories in social and political contexts from different scholars that has many approaches. Therefore, hopefully this proceeding can contribute to provide valuable insights that can useful for participants and to broader societal advancements. </w:t>
      </w:r>
    </w:p>
    <w:p w14:paraId="3EAB792E" w14:textId="77777777" w:rsidR="008D1BEF" w:rsidRPr="008D1BEF" w:rsidRDefault="008D1BEF" w:rsidP="008D1BEF">
      <w:pPr>
        <w:spacing w:line="240" w:lineRule="auto"/>
        <w:ind w:left="284"/>
        <w:rPr>
          <w:rFonts w:ascii="Times New Roman" w:eastAsia="Times New Roman" w:hAnsi="Times New Roman" w:cs="Times New Roman"/>
          <w:sz w:val="20"/>
          <w:szCs w:val="20"/>
          <w:lang w:val="en-US"/>
        </w:rPr>
      </w:pPr>
      <w:r w:rsidRPr="008D1BEF">
        <w:rPr>
          <w:rFonts w:ascii="Times New Roman" w:eastAsia="Times New Roman" w:hAnsi="Times New Roman" w:cs="Times New Roman"/>
          <w:sz w:val="20"/>
          <w:szCs w:val="20"/>
          <w:lang w:val="en-US"/>
        </w:rPr>
        <w:t xml:space="preserve">We proudly present the proceedings of </w:t>
      </w:r>
      <w:r w:rsidRPr="008D1BEF">
        <w:rPr>
          <w:rFonts w:ascii="Times New Roman" w:eastAsia="Times New Roman" w:hAnsi="Times New Roman" w:cs="Times New Roman"/>
          <w:b/>
          <w:bCs/>
          <w:sz w:val="20"/>
          <w:szCs w:val="20"/>
          <w:lang w:val="en-US"/>
        </w:rPr>
        <w:t>Hasanuddin Global Student Conference (HGSC) 2024</w:t>
      </w:r>
      <w:r w:rsidRPr="008D1BEF">
        <w:rPr>
          <w:rFonts w:ascii="Times New Roman" w:eastAsia="Times New Roman" w:hAnsi="Times New Roman" w:cs="Times New Roman"/>
          <w:sz w:val="20"/>
          <w:szCs w:val="20"/>
          <w:lang w:val="en-US"/>
        </w:rPr>
        <w:t xml:space="preserve"> With the theme </w:t>
      </w:r>
      <w:r w:rsidRPr="008D1BEF">
        <w:rPr>
          <w:rFonts w:ascii="Times New Roman" w:eastAsia="Times New Roman" w:hAnsi="Times New Roman" w:cs="Times New Roman"/>
          <w:b/>
          <w:bCs/>
          <w:sz w:val="20"/>
          <w:szCs w:val="20"/>
          <w:lang w:val="en-US"/>
        </w:rPr>
        <w:t xml:space="preserve">“Navigating Theories </w:t>
      </w:r>
      <w:proofErr w:type="gramStart"/>
      <w:r w:rsidRPr="008D1BEF">
        <w:rPr>
          <w:rFonts w:ascii="Times New Roman" w:eastAsia="Times New Roman" w:hAnsi="Times New Roman" w:cs="Times New Roman"/>
          <w:b/>
          <w:bCs/>
          <w:sz w:val="20"/>
          <w:szCs w:val="20"/>
          <w:lang w:val="en-US"/>
        </w:rPr>
        <w:t>Into</w:t>
      </w:r>
      <w:proofErr w:type="gramEnd"/>
      <w:r w:rsidRPr="008D1BEF">
        <w:rPr>
          <w:rFonts w:ascii="Times New Roman" w:eastAsia="Times New Roman" w:hAnsi="Times New Roman" w:cs="Times New Roman"/>
          <w:b/>
          <w:bCs/>
          <w:sz w:val="20"/>
          <w:szCs w:val="20"/>
          <w:lang w:val="en-US"/>
        </w:rPr>
        <w:t xml:space="preserve"> Practice: AI Agendas on Social and Political Sciences”</w:t>
      </w:r>
      <w:r w:rsidRPr="008D1BEF">
        <w:rPr>
          <w:rFonts w:ascii="Times New Roman" w:eastAsia="Times New Roman" w:hAnsi="Times New Roman" w:cs="Times New Roman"/>
          <w:sz w:val="20"/>
          <w:szCs w:val="20"/>
          <w:lang w:val="en-US"/>
        </w:rPr>
        <w:t>.</w:t>
      </w:r>
    </w:p>
    <w:p w14:paraId="43273775" w14:textId="77777777" w:rsidR="008D1BEF" w:rsidRDefault="008D1BEF" w:rsidP="001B3F12">
      <w:pPr>
        <w:spacing w:line="240" w:lineRule="auto"/>
        <w:ind w:left="284"/>
        <w:rPr>
          <w:rFonts w:ascii="Times New Roman" w:eastAsia="Times New Roman" w:hAnsi="Times New Roman" w:cs="Times New Roman"/>
          <w:sz w:val="18"/>
          <w:szCs w:val="18"/>
        </w:rPr>
      </w:pPr>
    </w:p>
    <w:p w14:paraId="2EB2E387" w14:textId="77777777" w:rsidR="008D1BEF" w:rsidRDefault="008D1BEF" w:rsidP="001B3F12">
      <w:pPr>
        <w:spacing w:line="240" w:lineRule="auto"/>
        <w:ind w:left="284"/>
        <w:rPr>
          <w:rFonts w:ascii="Times New Roman" w:eastAsia="Times New Roman" w:hAnsi="Times New Roman" w:cs="Times New Roman"/>
          <w:sz w:val="18"/>
          <w:szCs w:val="18"/>
        </w:rPr>
      </w:pPr>
    </w:p>
    <w:p w14:paraId="78AC0978" w14:textId="77777777" w:rsidR="008D1BEF" w:rsidRDefault="008D1BEF" w:rsidP="001B3F12">
      <w:pPr>
        <w:spacing w:line="240" w:lineRule="auto"/>
        <w:ind w:left="284"/>
        <w:rPr>
          <w:rFonts w:ascii="Times New Roman" w:eastAsia="Times New Roman" w:hAnsi="Times New Roman" w:cs="Times New Roman"/>
          <w:sz w:val="18"/>
          <w:szCs w:val="18"/>
        </w:rPr>
      </w:pPr>
    </w:p>
    <w:p w14:paraId="05025F7B" w14:textId="77777777" w:rsidR="008D1BEF" w:rsidRDefault="008D1BEF" w:rsidP="001B3F12">
      <w:pPr>
        <w:spacing w:line="240" w:lineRule="auto"/>
        <w:ind w:left="284"/>
        <w:rPr>
          <w:rFonts w:ascii="Times New Roman" w:eastAsia="Times New Roman" w:hAnsi="Times New Roman" w:cs="Times New Roman"/>
          <w:sz w:val="18"/>
          <w:szCs w:val="18"/>
        </w:rPr>
      </w:pPr>
    </w:p>
    <w:p w14:paraId="25C6D80D" w14:textId="77777777" w:rsidR="008D1BEF" w:rsidRDefault="008D1BEF" w:rsidP="001B3F12">
      <w:pPr>
        <w:spacing w:line="240" w:lineRule="auto"/>
        <w:ind w:left="284"/>
        <w:rPr>
          <w:rFonts w:ascii="Times New Roman" w:eastAsia="Times New Roman" w:hAnsi="Times New Roman" w:cs="Times New Roman"/>
          <w:sz w:val="18"/>
          <w:szCs w:val="18"/>
        </w:rPr>
      </w:pPr>
    </w:p>
    <w:p w14:paraId="3B3215BC" w14:textId="77777777" w:rsidR="008D1BEF" w:rsidRDefault="008D1BEF" w:rsidP="001B3F12">
      <w:pPr>
        <w:spacing w:line="240" w:lineRule="auto"/>
        <w:ind w:left="284"/>
        <w:rPr>
          <w:rFonts w:ascii="Times New Roman" w:eastAsia="Times New Roman" w:hAnsi="Times New Roman" w:cs="Times New Roman"/>
          <w:sz w:val="18"/>
          <w:szCs w:val="18"/>
        </w:rPr>
      </w:pPr>
    </w:p>
    <w:p w14:paraId="2C7D54BC" w14:textId="77777777" w:rsidR="008D1BEF" w:rsidRDefault="008D1BEF" w:rsidP="001B3F12">
      <w:pPr>
        <w:spacing w:line="240" w:lineRule="auto"/>
        <w:ind w:left="284"/>
        <w:rPr>
          <w:rFonts w:ascii="Times New Roman" w:eastAsia="Times New Roman" w:hAnsi="Times New Roman" w:cs="Times New Roman"/>
          <w:sz w:val="18"/>
          <w:szCs w:val="18"/>
        </w:rPr>
      </w:pPr>
    </w:p>
    <w:p w14:paraId="31876F8B" w14:textId="77777777" w:rsidR="008D1BEF" w:rsidRDefault="008D1BEF" w:rsidP="001B3F12">
      <w:pPr>
        <w:spacing w:line="240" w:lineRule="auto"/>
        <w:ind w:left="284"/>
        <w:rPr>
          <w:rFonts w:ascii="Times New Roman" w:eastAsia="Times New Roman" w:hAnsi="Times New Roman" w:cs="Times New Roman"/>
          <w:sz w:val="18"/>
          <w:szCs w:val="18"/>
        </w:rPr>
      </w:pPr>
    </w:p>
    <w:p w14:paraId="254B2ABF" w14:textId="77777777" w:rsidR="008D1BEF" w:rsidRDefault="008D1BEF" w:rsidP="001B3F12">
      <w:pPr>
        <w:spacing w:line="240" w:lineRule="auto"/>
        <w:ind w:left="284"/>
        <w:rPr>
          <w:rFonts w:ascii="Times New Roman" w:eastAsia="Times New Roman" w:hAnsi="Times New Roman" w:cs="Times New Roman"/>
          <w:sz w:val="18"/>
          <w:szCs w:val="18"/>
        </w:rPr>
      </w:pPr>
    </w:p>
    <w:p w14:paraId="3AE94B59" w14:textId="77777777" w:rsidR="008D1BEF" w:rsidRDefault="008D1BEF" w:rsidP="001B3F12">
      <w:pPr>
        <w:spacing w:line="240" w:lineRule="auto"/>
        <w:ind w:left="284"/>
        <w:rPr>
          <w:rFonts w:ascii="Times New Roman" w:eastAsia="Times New Roman" w:hAnsi="Times New Roman" w:cs="Times New Roman"/>
          <w:sz w:val="18"/>
          <w:szCs w:val="18"/>
        </w:rPr>
      </w:pPr>
    </w:p>
    <w:p w14:paraId="4ABD2B96" w14:textId="77777777" w:rsidR="008D1BEF" w:rsidRDefault="008D1BEF" w:rsidP="001B3F12">
      <w:pPr>
        <w:spacing w:line="240" w:lineRule="auto"/>
        <w:ind w:left="284"/>
        <w:rPr>
          <w:rFonts w:ascii="Times New Roman" w:eastAsia="Times New Roman" w:hAnsi="Times New Roman" w:cs="Times New Roman"/>
          <w:sz w:val="18"/>
          <w:szCs w:val="18"/>
        </w:rPr>
      </w:pPr>
    </w:p>
    <w:p w14:paraId="2093223A" w14:textId="77777777" w:rsidR="008D1BEF" w:rsidRDefault="008D1BEF" w:rsidP="001B3F12">
      <w:pPr>
        <w:spacing w:line="240" w:lineRule="auto"/>
        <w:ind w:left="284"/>
        <w:rPr>
          <w:rFonts w:ascii="Times New Roman" w:eastAsia="Times New Roman" w:hAnsi="Times New Roman" w:cs="Times New Roman"/>
          <w:sz w:val="18"/>
          <w:szCs w:val="18"/>
        </w:rPr>
      </w:pPr>
    </w:p>
    <w:p w14:paraId="3355B064" w14:textId="77777777" w:rsidR="008D1BEF" w:rsidRDefault="008D1BEF" w:rsidP="001B3F12">
      <w:pPr>
        <w:spacing w:line="240" w:lineRule="auto"/>
        <w:ind w:left="284"/>
        <w:rPr>
          <w:rFonts w:ascii="Times New Roman" w:eastAsia="Times New Roman" w:hAnsi="Times New Roman" w:cs="Times New Roman"/>
          <w:sz w:val="18"/>
          <w:szCs w:val="18"/>
        </w:rPr>
      </w:pPr>
    </w:p>
    <w:p w14:paraId="750909DD" w14:textId="77777777" w:rsidR="008D1BEF" w:rsidRDefault="008D1BEF" w:rsidP="001B3F12">
      <w:pPr>
        <w:spacing w:line="240" w:lineRule="auto"/>
        <w:ind w:left="284"/>
        <w:rPr>
          <w:rFonts w:ascii="Times New Roman" w:eastAsia="Times New Roman" w:hAnsi="Times New Roman" w:cs="Times New Roman"/>
          <w:sz w:val="18"/>
          <w:szCs w:val="18"/>
        </w:rPr>
      </w:pPr>
    </w:p>
    <w:p w14:paraId="169C2BFE" w14:textId="77777777" w:rsidR="008D1BEF" w:rsidRDefault="008D1BEF" w:rsidP="001B3F12">
      <w:pPr>
        <w:spacing w:line="240" w:lineRule="auto"/>
        <w:ind w:left="284"/>
        <w:rPr>
          <w:rFonts w:ascii="Times New Roman" w:eastAsia="Times New Roman" w:hAnsi="Times New Roman" w:cs="Times New Roman"/>
          <w:sz w:val="18"/>
          <w:szCs w:val="18"/>
        </w:rPr>
      </w:pPr>
    </w:p>
    <w:p w14:paraId="2864A05A" w14:textId="77777777" w:rsidR="008D1BEF" w:rsidRDefault="008D1BEF" w:rsidP="001B3F12">
      <w:pPr>
        <w:spacing w:line="240" w:lineRule="auto"/>
        <w:ind w:left="284"/>
        <w:rPr>
          <w:rFonts w:ascii="Times New Roman" w:eastAsia="Times New Roman" w:hAnsi="Times New Roman" w:cs="Times New Roman"/>
          <w:sz w:val="18"/>
          <w:szCs w:val="18"/>
        </w:rPr>
      </w:pPr>
    </w:p>
    <w:p w14:paraId="3C7E9281" w14:textId="77777777" w:rsidR="008D1BEF" w:rsidRDefault="008D1BEF" w:rsidP="001B3F12">
      <w:pPr>
        <w:spacing w:line="240" w:lineRule="auto"/>
        <w:ind w:left="284"/>
        <w:rPr>
          <w:rFonts w:ascii="Times New Roman" w:eastAsia="Times New Roman" w:hAnsi="Times New Roman" w:cs="Times New Roman"/>
          <w:sz w:val="18"/>
          <w:szCs w:val="18"/>
        </w:rPr>
      </w:pPr>
    </w:p>
    <w:p w14:paraId="18564B6A" w14:textId="77777777" w:rsidR="008D1BEF" w:rsidRDefault="008D1BEF" w:rsidP="001B3F12">
      <w:pPr>
        <w:spacing w:line="240" w:lineRule="auto"/>
        <w:ind w:left="284"/>
        <w:rPr>
          <w:rFonts w:ascii="Times New Roman" w:eastAsia="Times New Roman" w:hAnsi="Times New Roman" w:cs="Times New Roman"/>
          <w:sz w:val="18"/>
          <w:szCs w:val="18"/>
        </w:rPr>
      </w:pPr>
    </w:p>
    <w:p w14:paraId="7BB837D9" w14:textId="77777777" w:rsidR="008D1BEF" w:rsidRDefault="008D1BEF" w:rsidP="001B3F12">
      <w:pPr>
        <w:spacing w:line="240" w:lineRule="auto"/>
        <w:ind w:left="284"/>
        <w:rPr>
          <w:rFonts w:ascii="Times New Roman" w:eastAsia="Times New Roman" w:hAnsi="Times New Roman" w:cs="Times New Roman"/>
          <w:sz w:val="18"/>
          <w:szCs w:val="18"/>
        </w:rPr>
      </w:pPr>
    </w:p>
    <w:p w14:paraId="6B2618E9" w14:textId="77777777" w:rsidR="008D1BEF" w:rsidRDefault="008D1BEF" w:rsidP="001B3F12">
      <w:pPr>
        <w:spacing w:line="240" w:lineRule="auto"/>
        <w:ind w:left="284"/>
        <w:rPr>
          <w:rFonts w:ascii="Times New Roman" w:eastAsia="Times New Roman" w:hAnsi="Times New Roman" w:cs="Times New Roman"/>
          <w:sz w:val="18"/>
          <w:szCs w:val="18"/>
        </w:rPr>
      </w:pPr>
    </w:p>
    <w:p w14:paraId="3BF30A34" w14:textId="77777777" w:rsidR="008D1BEF" w:rsidRDefault="008D1BEF" w:rsidP="001B3F12">
      <w:pPr>
        <w:spacing w:line="240" w:lineRule="auto"/>
        <w:ind w:left="284"/>
        <w:rPr>
          <w:rFonts w:ascii="Times New Roman" w:eastAsia="Times New Roman" w:hAnsi="Times New Roman" w:cs="Times New Roman"/>
          <w:sz w:val="18"/>
          <w:szCs w:val="18"/>
        </w:rPr>
      </w:pPr>
    </w:p>
    <w:p w14:paraId="79185B63" w14:textId="77777777" w:rsidR="008D1BEF" w:rsidRDefault="008D1BEF" w:rsidP="001B3F12">
      <w:pPr>
        <w:spacing w:line="240" w:lineRule="auto"/>
        <w:ind w:left="284"/>
        <w:rPr>
          <w:rFonts w:ascii="Times New Roman" w:eastAsia="Times New Roman" w:hAnsi="Times New Roman" w:cs="Times New Roman"/>
          <w:sz w:val="18"/>
          <w:szCs w:val="18"/>
        </w:rPr>
      </w:pPr>
    </w:p>
    <w:p w14:paraId="07685538" w14:textId="77777777" w:rsidR="008D1BEF" w:rsidRDefault="008D1BEF" w:rsidP="001B3F12">
      <w:pPr>
        <w:spacing w:line="240" w:lineRule="auto"/>
        <w:ind w:left="284"/>
        <w:rPr>
          <w:rFonts w:ascii="Times New Roman" w:eastAsia="Times New Roman" w:hAnsi="Times New Roman" w:cs="Times New Roman"/>
          <w:sz w:val="18"/>
          <w:szCs w:val="18"/>
        </w:rPr>
      </w:pPr>
    </w:p>
    <w:p w14:paraId="52BB7D7D" w14:textId="77777777" w:rsidR="001E5818" w:rsidRDefault="001E5818" w:rsidP="001B3F12">
      <w:pPr>
        <w:spacing w:line="240" w:lineRule="auto"/>
        <w:ind w:left="284"/>
        <w:rPr>
          <w:rFonts w:ascii="Times New Roman" w:eastAsia="Times New Roman" w:hAnsi="Times New Roman" w:cs="Times New Roman"/>
          <w:sz w:val="18"/>
          <w:szCs w:val="18"/>
        </w:rPr>
      </w:pPr>
    </w:p>
    <w:p w14:paraId="08693408" w14:textId="77777777" w:rsidR="008D1BEF" w:rsidRDefault="008D1BEF" w:rsidP="008D1BEF">
      <w:pPr>
        <w:spacing w:line="240" w:lineRule="auto"/>
        <w:ind w:left="0"/>
        <w:rPr>
          <w:rFonts w:ascii="Times New Roman" w:eastAsia="Times New Roman" w:hAnsi="Times New Roman" w:cs="Times New Roman"/>
          <w:sz w:val="18"/>
          <w:szCs w:val="18"/>
        </w:rPr>
      </w:pPr>
    </w:p>
    <w:sdt>
      <w:sdtPr>
        <w:rPr>
          <w:rFonts w:ascii="Times New Roman" w:eastAsia="Calibri" w:hAnsi="Times New Roman" w:cs="Times New Roman"/>
          <w:color w:val="auto"/>
          <w:sz w:val="22"/>
          <w:szCs w:val="22"/>
          <w:lang w:val="id-ID"/>
        </w:rPr>
        <w:id w:val="-1841227606"/>
        <w:docPartObj>
          <w:docPartGallery w:val="Table of Contents"/>
          <w:docPartUnique/>
        </w:docPartObj>
      </w:sdtPr>
      <w:sdtEndPr>
        <w:rPr>
          <w:b/>
          <w:bCs/>
          <w:noProof/>
        </w:rPr>
      </w:sdtEndPr>
      <w:sdtContent>
        <w:p w14:paraId="1E6CC151" w14:textId="0E1EA807" w:rsidR="008E37C0" w:rsidRPr="008D1BEF" w:rsidRDefault="008E37C0" w:rsidP="008D1BEF">
          <w:pPr>
            <w:pStyle w:val="TOCHeading"/>
            <w:spacing w:before="0"/>
            <w:ind w:left="142"/>
            <w:rPr>
              <w:rFonts w:ascii="Times New Roman" w:hAnsi="Times New Roman" w:cs="Times New Roman"/>
              <w:b/>
              <w:bCs/>
              <w:color w:val="auto"/>
              <w:sz w:val="22"/>
              <w:szCs w:val="22"/>
            </w:rPr>
          </w:pPr>
          <w:r w:rsidRPr="008D1BEF">
            <w:rPr>
              <w:rFonts w:ascii="Times New Roman" w:hAnsi="Times New Roman" w:cs="Times New Roman"/>
              <w:b/>
              <w:bCs/>
              <w:color w:val="auto"/>
              <w:sz w:val="22"/>
              <w:szCs w:val="22"/>
            </w:rPr>
            <w:t>Contents</w:t>
          </w:r>
        </w:p>
        <w:p w14:paraId="19984E72" w14:textId="6A77C15C" w:rsidR="00D250D8" w:rsidRPr="008D1BEF" w:rsidRDefault="008E37C0" w:rsidP="008D1BEF">
          <w:pPr>
            <w:pStyle w:val="TOC1"/>
            <w:spacing w:after="0"/>
            <w:ind w:left="142"/>
            <w:rPr>
              <w:rFonts w:eastAsiaTheme="minorEastAsia" w:cs="Times New Roman"/>
              <w:b w:val="0"/>
              <w:bCs w:val="0"/>
              <w:kern w:val="2"/>
              <w:sz w:val="22"/>
              <w:szCs w:val="22"/>
              <w:lang w:val="en-ID" w:eastAsia="en-ID"/>
              <w14:ligatures w14:val="standardContextual"/>
            </w:rPr>
          </w:pPr>
          <w:r w:rsidRPr="008D1BEF">
            <w:rPr>
              <w:rFonts w:cs="Times New Roman"/>
              <w:sz w:val="22"/>
              <w:szCs w:val="22"/>
            </w:rPr>
            <w:fldChar w:fldCharType="begin"/>
          </w:r>
          <w:r w:rsidRPr="008D1BEF">
            <w:rPr>
              <w:rFonts w:cs="Times New Roman"/>
              <w:sz w:val="22"/>
              <w:szCs w:val="22"/>
            </w:rPr>
            <w:instrText xml:space="preserve"> TOC \o "1-3" \h \z \u </w:instrText>
          </w:r>
          <w:r w:rsidRPr="008D1BEF">
            <w:rPr>
              <w:rFonts w:cs="Times New Roman"/>
              <w:sz w:val="22"/>
              <w:szCs w:val="22"/>
            </w:rPr>
            <w:fldChar w:fldCharType="separate"/>
          </w:r>
          <w:hyperlink w:anchor="_Toc197537587" w:history="1">
            <w:r w:rsidR="00D250D8" w:rsidRPr="008D1BEF">
              <w:rPr>
                <w:rStyle w:val="Hyperlink"/>
                <w:rFonts w:cs="Times New Roman"/>
                <w:sz w:val="22"/>
                <w:szCs w:val="22"/>
              </w:rPr>
              <w:t>The Impact of Artificial Intelligence on Governance and Policy-Making in Malaysia</w:t>
            </w:r>
            <w:r w:rsidR="00D250D8" w:rsidRPr="008D1BEF">
              <w:rPr>
                <w:rFonts w:cs="Times New Roman"/>
                <w:webHidden/>
                <w:sz w:val="22"/>
                <w:szCs w:val="22"/>
              </w:rPr>
              <w:tab/>
            </w:r>
            <w:r w:rsidR="00D250D8" w:rsidRPr="008D1BEF">
              <w:rPr>
                <w:rFonts w:cs="Times New Roman"/>
                <w:webHidden/>
                <w:sz w:val="22"/>
                <w:szCs w:val="22"/>
              </w:rPr>
              <w:fldChar w:fldCharType="begin"/>
            </w:r>
            <w:r w:rsidR="00D250D8" w:rsidRPr="008D1BEF">
              <w:rPr>
                <w:rFonts w:cs="Times New Roman"/>
                <w:webHidden/>
                <w:sz w:val="22"/>
                <w:szCs w:val="22"/>
              </w:rPr>
              <w:instrText xml:space="preserve"> PAGEREF _Toc197537587 \h </w:instrText>
            </w:r>
            <w:r w:rsidR="00D250D8" w:rsidRPr="008D1BEF">
              <w:rPr>
                <w:rFonts w:cs="Times New Roman"/>
                <w:webHidden/>
                <w:sz w:val="22"/>
                <w:szCs w:val="22"/>
              </w:rPr>
            </w:r>
            <w:r w:rsidR="00D250D8" w:rsidRPr="008D1BEF">
              <w:rPr>
                <w:rFonts w:cs="Times New Roman"/>
                <w:webHidden/>
                <w:sz w:val="22"/>
                <w:szCs w:val="22"/>
              </w:rPr>
              <w:fldChar w:fldCharType="separate"/>
            </w:r>
            <w:r w:rsidR="008D1BEF">
              <w:rPr>
                <w:rFonts w:cs="Times New Roman"/>
                <w:webHidden/>
                <w:sz w:val="22"/>
                <w:szCs w:val="22"/>
              </w:rPr>
              <w:t>1</w:t>
            </w:r>
            <w:r w:rsidR="00D250D8" w:rsidRPr="008D1BEF">
              <w:rPr>
                <w:rFonts w:cs="Times New Roman"/>
                <w:webHidden/>
                <w:sz w:val="22"/>
                <w:szCs w:val="22"/>
              </w:rPr>
              <w:fldChar w:fldCharType="end"/>
            </w:r>
          </w:hyperlink>
        </w:p>
        <w:p w14:paraId="030630BA" w14:textId="6B7079DE" w:rsidR="00D250D8" w:rsidRPr="008D1BEF" w:rsidRDefault="00D250D8" w:rsidP="008D1BEF">
          <w:pPr>
            <w:pStyle w:val="TOC2"/>
            <w:spacing w:after="0"/>
            <w:ind w:left="142"/>
            <w:rPr>
              <w:kern w:val="2"/>
              <w:lang w:val="en-ID" w:eastAsia="en-ID"/>
              <w14:ligatures w14:val="standardContextual"/>
            </w:rPr>
          </w:pPr>
          <w:hyperlink w:anchor="_Toc197537588" w:history="1">
            <w:r w:rsidRPr="008D1BEF">
              <w:rPr>
                <w:rStyle w:val="Hyperlink"/>
                <w:lang w:val="en-ID"/>
              </w:rPr>
              <w:t>Muhammad Amil Wong Tian</w:t>
            </w:r>
            <w:r w:rsidRPr="008D1BEF">
              <w:rPr>
                <w:rStyle w:val="Hyperlink"/>
                <w:vertAlign w:val="superscript"/>
                <w:lang w:val="en-ID"/>
              </w:rPr>
              <w:t>1</w:t>
            </w:r>
          </w:hyperlink>
        </w:p>
        <w:p w14:paraId="1F8803B9" w14:textId="0EB1903B"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89" w:history="1">
            <w:r w:rsidRPr="008D1BEF">
              <w:rPr>
                <w:rStyle w:val="Hyperlink"/>
                <w:rFonts w:cs="Times New Roman"/>
                <w:sz w:val="22"/>
                <w:szCs w:val="22"/>
              </w:rPr>
              <w:t>AI in International Relations: A Triumph for Progress or a Menace to Humanity?</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_Toc197537589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9</w:t>
            </w:r>
            <w:r w:rsidRPr="008D1BEF">
              <w:rPr>
                <w:rFonts w:cs="Times New Roman"/>
                <w:webHidden/>
                <w:sz w:val="22"/>
                <w:szCs w:val="22"/>
              </w:rPr>
              <w:fldChar w:fldCharType="end"/>
            </w:r>
          </w:hyperlink>
        </w:p>
        <w:p w14:paraId="400393DF" w14:textId="33674345" w:rsidR="00D250D8" w:rsidRPr="008D1BEF" w:rsidRDefault="00D250D8" w:rsidP="008D1BEF">
          <w:pPr>
            <w:pStyle w:val="TOC2"/>
            <w:spacing w:after="0"/>
            <w:ind w:left="142"/>
            <w:rPr>
              <w:kern w:val="2"/>
              <w:lang w:val="en-ID" w:eastAsia="en-ID"/>
              <w14:ligatures w14:val="standardContextual"/>
            </w:rPr>
          </w:pPr>
          <w:hyperlink w:anchor="_Toc197537590" w:history="1">
            <w:r w:rsidRPr="008D1BEF">
              <w:rPr>
                <w:rStyle w:val="Hyperlink"/>
                <w:lang w:val="en-ID"/>
              </w:rPr>
              <w:t>Ashrie Wahid</w:t>
            </w:r>
            <w:r w:rsidRPr="008D1BEF">
              <w:rPr>
                <w:rStyle w:val="Hyperlink"/>
                <w:vertAlign w:val="superscript"/>
                <w:lang w:val="en-ID"/>
              </w:rPr>
              <w:t>1</w:t>
            </w:r>
          </w:hyperlink>
        </w:p>
        <w:p w14:paraId="644C9D50" w14:textId="094F63F2"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91" w:history="1">
            <w:r w:rsidRPr="008D1BEF">
              <w:rPr>
                <w:rStyle w:val="Hyperlink"/>
                <w:rFonts w:cs="Times New Roman"/>
                <w:sz w:val="22"/>
                <w:szCs w:val="22"/>
              </w:rPr>
              <w:t>AI</w:t>
            </w:r>
            <w:r w:rsidRPr="008D1BEF">
              <w:rPr>
                <w:rStyle w:val="Hyperlink"/>
                <w:rFonts w:cs="Times New Roman"/>
                <w:spacing w:val="-13"/>
                <w:sz w:val="22"/>
                <w:szCs w:val="22"/>
              </w:rPr>
              <w:t xml:space="preserve"> </w:t>
            </w:r>
            <w:r w:rsidRPr="008D1BEF">
              <w:rPr>
                <w:rStyle w:val="Hyperlink"/>
                <w:rFonts w:cs="Times New Roman"/>
                <w:sz w:val="22"/>
                <w:szCs w:val="22"/>
              </w:rPr>
              <w:t>and</w:t>
            </w:r>
            <w:r w:rsidRPr="008D1BEF">
              <w:rPr>
                <w:rStyle w:val="Hyperlink"/>
                <w:rFonts w:cs="Times New Roman"/>
                <w:spacing w:val="-13"/>
                <w:sz w:val="22"/>
                <w:szCs w:val="22"/>
              </w:rPr>
              <w:t xml:space="preserve"> </w:t>
            </w:r>
            <w:r w:rsidRPr="008D1BEF">
              <w:rPr>
                <w:rStyle w:val="Hyperlink"/>
                <w:rFonts w:cs="Times New Roman"/>
                <w:sz w:val="22"/>
                <w:szCs w:val="22"/>
              </w:rPr>
              <w:t>Public</w:t>
            </w:r>
            <w:r w:rsidRPr="008D1BEF">
              <w:rPr>
                <w:rStyle w:val="Hyperlink"/>
                <w:rFonts w:cs="Times New Roman"/>
                <w:spacing w:val="-9"/>
                <w:sz w:val="22"/>
                <w:szCs w:val="22"/>
              </w:rPr>
              <w:t xml:space="preserve"> </w:t>
            </w:r>
            <w:r w:rsidRPr="008D1BEF">
              <w:rPr>
                <w:rStyle w:val="Hyperlink"/>
                <w:rFonts w:cs="Times New Roman"/>
                <w:sz w:val="22"/>
                <w:szCs w:val="22"/>
              </w:rPr>
              <w:t>Policy</w:t>
            </w:r>
            <w:r w:rsidRPr="008D1BEF">
              <w:rPr>
                <w:rStyle w:val="Hyperlink"/>
                <w:rFonts w:cs="Times New Roman"/>
                <w:spacing w:val="-10"/>
                <w:sz w:val="22"/>
                <w:szCs w:val="22"/>
              </w:rPr>
              <w:t xml:space="preserve"> </w:t>
            </w:r>
            <w:r w:rsidRPr="008D1BEF">
              <w:rPr>
                <w:rStyle w:val="Hyperlink"/>
                <w:rFonts w:cs="Times New Roman"/>
                <w:sz w:val="22"/>
                <w:szCs w:val="22"/>
              </w:rPr>
              <w:t>Process:</w:t>
            </w:r>
            <w:r w:rsidRPr="008D1BEF">
              <w:rPr>
                <w:rStyle w:val="Hyperlink"/>
                <w:rFonts w:cs="Times New Roman"/>
                <w:spacing w:val="-14"/>
                <w:sz w:val="22"/>
                <w:szCs w:val="22"/>
              </w:rPr>
              <w:t xml:space="preserve"> </w:t>
            </w:r>
            <w:r w:rsidRPr="008D1BEF">
              <w:rPr>
                <w:rStyle w:val="Hyperlink"/>
                <w:rFonts w:cs="Times New Roman"/>
                <w:sz w:val="22"/>
                <w:szCs w:val="22"/>
              </w:rPr>
              <w:t>Between</w:t>
            </w:r>
            <w:r w:rsidRPr="008D1BEF">
              <w:rPr>
                <w:rStyle w:val="Hyperlink"/>
                <w:rFonts w:cs="Times New Roman"/>
                <w:spacing w:val="-12"/>
                <w:sz w:val="22"/>
                <w:szCs w:val="22"/>
              </w:rPr>
              <w:t xml:space="preserve"> </w:t>
            </w:r>
            <w:r w:rsidRPr="008D1BEF">
              <w:rPr>
                <w:rStyle w:val="Hyperlink"/>
                <w:rFonts w:cs="Times New Roman"/>
                <w:sz w:val="22"/>
                <w:szCs w:val="22"/>
              </w:rPr>
              <w:t>Efficiency and Ethical Challenges</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_Toc197537591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16</w:t>
            </w:r>
            <w:r w:rsidRPr="008D1BEF">
              <w:rPr>
                <w:rFonts w:cs="Times New Roman"/>
                <w:webHidden/>
                <w:sz w:val="22"/>
                <w:szCs w:val="22"/>
              </w:rPr>
              <w:fldChar w:fldCharType="end"/>
            </w:r>
          </w:hyperlink>
        </w:p>
        <w:p w14:paraId="6A3BF4F4" w14:textId="0B9905DF" w:rsidR="00D250D8" w:rsidRPr="008D1BEF" w:rsidRDefault="00D250D8" w:rsidP="008D1BEF">
          <w:pPr>
            <w:pStyle w:val="TOC2"/>
            <w:spacing w:after="0"/>
            <w:ind w:left="142"/>
            <w:rPr>
              <w:kern w:val="2"/>
              <w:lang w:eastAsia="en-ID"/>
              <w14:ligatures w14:val="standardContextual"/>
            </w:rPr>
          </w:pPr>
          <w:hyperlink w:anchor="_Toc197537592" w:history="1">
            <w:r w:rsidRPr="008D1BEF">
              <w:rPr>
                <w:rStyle w:val="Hyperlink"/>
                <w:lang w:val="en-ID"/>
              </w:rPr>
              <w:t>Andi</w:t>
            </w:r>
            <w:r w:rsidRPr="008D1BEF">
              <w:rPr>
                <w:rStyle w:val="Hyperlink"/>
                <w:spacing w:val="-9"/>
                <w:lang w:val="en-ID"/>
              </w:rPr>
              <w:t xml:space="preserve"> </w:t>
            </w:r>
            <w:r w:rsidRPr="008D1BEF">
              <w:rPr>
                <w:rStyle w:val="Hyperlink"/>
                <w:lang w:val="en-ID"/>
              </w:rPr>
              <w:t>Muhammad</w:t>
            </w:r>
            <w:r w:rsidRPr="008D1BEF">
              <w:rPr>
                <w:rStyle w:val="Hyperlink"/>
                <w:spacing w:val="-2"/>
                <w:lang w:val="en-ID"/>
              </w:rPr>
              <w:t xml:space="preserve"> </w:t>
            </w:r>
            <w:r w:rsidRPr="008D1BEF">
              <w:rPr>
                <w:rStyle w:val="Hyperlink"/>
                <w:lang w:val="en-ID"/>
              </w:rPr>
              <w:t>Farid</w:t>
            </w:r>
            <w:r w:rsidRPr="008D1BEF">
              <w:rPr>
                <w:rStyle w:val="Hyperlink"/>
                <w:spacing w:val="-2"/>
                <w:lang w:val="en-ID"/>
              </w:rPr>
              <w:t xml:space="preserve"> </w:t>
            </w:r>
            <w:r w:rsidRPr="008D1BEF">
              <w:rPr>
                <w:rStyle w:val="Hyperlink"/>
                <w:lang w:val="en-ID"/>
              </w:rPr>
              <w:t>Fausan</w:t>
            </w:r>
            <w:r w:rsidRPr="008D1BEF">
              <w:rPr>
                <w:rStyle w:val="Hyperlink"/>
                <w:spacing w:val="-3"/>
                <w:lang w:val="en-ID"/>
              </w:rPr>
              <w:t xml:space="preserve"> </w:t>
            </w:r>
            <w:r w:rsidRPr="008D1BEF">
              <w:rPr>
                <w:rStyle w:val="Hyperlink"/>
                <w:lang w:val="en-ID"/>
              </w:rPr>
              <w:t>Bate</w:t>
            </w:r>
            <w:r w:rsidRPr="008D1BEF">
              <w:rPr>
                <w:rStyle w:val="Hyperlink"/>
                <w:position w:val="8"/>
                <w:lang w:val="en-ID"/>
              </w:rPr>
              <w:t>1</w:t>
            </w:r>
            <w:r w:rsidRPr="008D1BEF">
              <w:rPr>
                <w:rStyle w:val="Hyperlink"/>
                <w:lang w:val="en-ID"/>
              </w:rPr>
              <w:t>,</w:t>
            </w:r>
            <w:r w:rsidRPr="008D1BEF">
              <w:rPr>
                <w:rStyle w:val="Hyperlink"/>
                <w:spacing w:val="-4"/>
                <w:lang w:val="en-ID"/>
              </w:rPr>
              <w:t xml:space="preserve"> </w:t>
            </w:r>
            <w:r w:rsidRPr="008D1BEF">
              <w:rPr>
                <w:rStyle w:val="Hyperlink"/>
                <w:lang w:val="en-ID"/>
              </w:rPr>
              <w:t>Andi</w:t>
            </w:r>
            <w:r w:rsidRPr="008D1BEF">
              <w:rPr>
                <w:rStyle w:val="Hyperlink"/>
                <w:spacing w:val="-3"/>
                <w:lang w:val="en-ID"/>
              </w:rPr>
              <w:t xml:space="preserve"> </w:t>
            </w:r>
            <w:r w:rsidRPr="008D1BEF">
              <w:rPr>
                <w:rStyle w:val="Hyperlink"/>
                <w:lang w:val="en-ID"/>
              </w:rPr>
              <w:t>Pajolloi</w:t>
            </w:r>
            <w:r w:rsidRPr="008D1BEF">
              <w:rPr>
                <w:rStyle w:val="Hyperlink"/>
                <w:spacing w:val="-1"/>
                <w:lang w:val="en-ID"/>
              </w:rPr>
              <w:t xml:space="preserve"> </w:t>
            </w:r>
            <w:r w:rsidRPr="008D1BEF">
              <w:rPr>
                <w:rStyle w:val="Hyperlink"/>
                <w:spacing w:val="-2"/>
                <w:lang w:val="en-ID"/>
              </w:rPr>
              <w:t>Bate</w:t>
            </w:r>
            <w:r w:rsidRPr="008D1BEF">
              <w:rPr>
                <w:rStyle w:val="Hyperlink"/>
                <w:spacing w:val="-2"/>
                <w:position w:val="8"/>
                <w:lang w:val="en-ID"/>
              </w:rPr>
              <w:t>2</w:t>
            </w:r>
          </w:hyperlink>
        </w:p>
        <w:p w14:paraId="19312E40" w14:textId="4699FCC9"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93" w:history="1">
            <w:r w:rsidRPr="008D1BEF">
              <w:rPr>
                <w:rStyle w:val="Hyperlink"/>
                <w:rFonts w:cs="Times New Roman"/>
                <w:sz w:val="22"/>
                <w:szCs w:val="22"/>
              </w:rPr>
              <w:t>Stunting in the Digital Age: Health Literacy Challenges Among Parents in Palopo City</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_Toc197537593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28</w:t>
            </w:r>
            <w:r w:rsidRPr="008D1BEF">
              <w:rPr>
                <w:rFonts w:cs="Times New Roman"/>
                <w:webHidden/>
                <w:sz w:val="22"/>
                <w:szCs w:val="22"/>
              </w:rPr>
              <w:fldChar w:fldCharType="end"/>
            </w:r>
          </w:hyperlink>
        </w:p>
        <w:p w14:paraId="0EC81F86" w14:textId="7A05FAB0" w:rsidR="00D250D8" w:rsidRPr="008D1BEF" w:rsidRDefault="00D250D8" w:rsidP="008D1BEF">
          <w:pPr>
            <w:pStyle w:val="TOC2"/>
            <w:spacing w:after="0"/>
            <w:ind w:left="142"/>
            <w:rPr>
              <w:kern w:val="2"/>
              <w:lang w:eastAsia="en-ID"/>
              <w14:ligatures w14:val="standardContextual"/>
            </w:rPr>
          </w:pPr>
          <w:hyperlink w:anchor="_Toc197537594" w:history="1">
            <w:r w:rsidRPr="008D1BEF">
              <w:rPr>
                <w:rStyle w:val="Hyperlink"/>
                <w:lang w:val="en-ID"/>
              </w:rPr>
              <w:t xml:space="preserve">Maharani </w:t>
            </w:r>
            <w:r w:rsidRPr="008D1BEF">
              <w:rPr>
                <w:rStyle w:val="Hyperlink"/>
                <w:vertAlign w:val="superscript"/>
                <w:lang w:val="en-ID"/>
              </w:rPr>
              <w:t>1</w:t>
            </w:r>
            <w:r w:rsidRPr="008D1BEF">
              <w:rPr>
                <w:rStyle w:val="Hyperlink"/>
                <w:lang w:val="en-ID"/>
              </w:rPr>
              <w:t>, Andi Nur Gama</w:t>
            </w:r>
            <w:r w:rsidRPr="008D1BEF">
              <w:rPr>
                <w:rStyle w:val="Hyperlink"/>
                <w:vertAlign w:val="superscript"/>
                <w:lang w:val="en-ID"/>
              </w:rPr>
              <w:t>2</w:t>
            </w:r>
            <w:r w:rsidRPr="008D1BEF">
              <w:rPr>
                <w:rStyle w:val="Hyperlink"/>
                <w:lang w:val="en-ID"/>
              </w:rPr>
              <w:t>, Alifah Awulya Wardani</w:t>
            </w:r>
            <w:r w:rsidRPr="008D1BEF">
              <w:rPr>
                <w:rStyle w:val="Hyperlink"/>
                <w:vertAlign w:val="superscript"/>
                <w:lang w:val="en-ID"/>
              </w:rPr>
              <w:t>3</w:t>
            </w:r>
          </w:hyperlink>
        </w:p>
        <w:p w14:paraId="2E6E1C17" w14:textId="6056B6BA"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95" w:history="1">
            <w:r w:rsidRPr="008D1BEF">
              <w:rPr>
                <w:rStyle w:val="Hyperlink"/>
                <w:rFonts w:cs="Times New Roman"/>
                <w:sz w:val="22"/>
                <w:szCs w:val="22"/>
                <w:lang w:val="en-US"/>
              </w:rPr>
              <w:t>Opportunities and Challenge for the Application of Artificial Intelligence (AI) in Public Policy in Indonesia</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_Toc197537595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35</w:t>
            </w:r>
            <w:r w:rsidRPr="008D1BEF">
              <w:rPr>
                <w:rFonts w:cs="Times New Roman"/>
                <w:webHidden/>
                <w:sz w:val="22"/>
                <w:szCs w:val="22"/>
              </w:rPr>
              <w:fldChar w:fldCharType="end"/>
            </w:r>
          </w:hyperlink>
        </w:p>
        <w:p w14:paraId="513871FA" w14:textId="77F2FBC0" w:rsidR="00D250D8" w:rsidRPr="008D1BEF" w:rsidRDefault="00D250D8" w:rsidP="008D1BEF">
          <w:pPr>
            <w:pStyle w:val="TOC2"/>
            <w:spacing w:after="0"/>
            <w:ind w:left="142"/>
            <w:rPr>
              <w:kern w:val="2"/>
              <w:lang w:val="en-ID" w:eastAsia="en-ID"/>
              <w14:ligatures w14:val="standardContextual"/>
            </w:rPr>
          </w:pPr>
          <w:hyperlink w:anchor="_Toc197537596" w:history="1">
            <w:r w:rsidRPr="008D1BEF">
              <w:rPr>
                <w:rStyle w:val="Hyperlink"/>
              </w:rPr>
              <w:t>Anni Mujahida Kamal</w:t>
            </w:r>
            <w:r w:rsidRPr="008D1BEF">
              <w:rPr>
                <w:rStyle w:val="Hyperlink"/>
                <w:vertAlign w:val="superscript"/>
              </w:rPr>
              <w:t>1</w:t>
            </w:r>
            <w:r w:rsidRPr="008D1BEF">
              <w:rPr>
                <w:rStyle w:val="Hyperlink"/>
              </w:rPr>
              <w:t>, Juanda Nawawi</w:t>
            </w:r>
            <w:r w:rsidRPr="008D1BEF">
              <w:rPr>
                <w:rStyle w:val="Hyperlink"/>
                <w:vertAlign w:val="superscript"/>
              </w:rPr>
              <w:t>2</w:t>
            </w:r>
            <w:r w:rsidRPr="008D1BEF">
              <w:rPr>
                <w:rStyle w:val="Hyperlink"/>
              </w:rPr>
              <w:t>, Suhardiman Syamsu</w:t>
            </w:r>
            <w:r w:rsidRPr="008D1BEF">
              <w:rPr>
                <w:rStyle w:val="Hyperlink"/>
                <w:vertAlign w:val="superscript"/>
              </w:rPr>
              <w:t>3</w:t>
            </w:r>
          </w:hyperlink>
        </w:p>
        <w:p w14:paraId="7D795291" w14:textId="04D99CDC"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97" w:history="1">
            <w:r w:rsidRPr="008D1BEF">
              <w:rPr>
                <w:rStyle w:val="Hyperlink"/>
                <w:rFonts w:cs="Times New Roman"/>
                <w:sz w:val="22"/>
                <w:szCs w:val="22"/>
              </w:rPr>
              <w:t>The Use of Artificial Intelligence in the Social Life of People Experiencing a Grief Crisis</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_Toc197537597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41</w:t>
            </w:r>
            <w:r w:rsidRPr="008D1BEF">
              <w:rPr>
                <w:rFonts w:cs="Times New Roman"/>
                <w:webHidden/>
                <w:sz w:val="22"/>
                <w:szCs w:val="22"/>
              </w:rPr>
              <w:fldChar w:fldCharType="end"/>
            </w:r>
          </w:hyperlink>
        </w:p>
        <w:p w14:paraId="32618135" w14:textId="1D4D9388" w:rsidR="00D250D8" w:rsidRPr="008D1BEF" w:rsidRDefault="00D250D8" w:rsidP="008D1BEF">
          <w:pPr>
            <w:pStyle w:val="TOC2"/>
            <w:spacing w:after="0"/>
            <w:ind w:left="142"/>
            <w:rPr>
              <w:kern w:val="2"/>
              <w:lang w:val="en-ID" w:eastAsia="en-ID"/>
              <w14:ligatures w14:val="standardContextual"/>
            </w:rPr>
          </w:pPr>
          <w:hyperlink w:anchor="_Toc197537598" w:history="1">
            <w:r w:rsidRPr="008D1BEF">
              <w:rPr>
                <w:rStyle w:val="Hyperlink"/>
                <w:lang w:val="id-ID"/>
              </w:rPr>
              <w:t>Aiman Sabar Rezeky</w:t>
            </w:r>
            <w:r w:rsidRPr="008D1BEF">
              <w:rPr>
                <w:rStyle w:val="Hyperlink"/>
                <w:vertAlign w:val="superscript"/>
                <w:lang w:val="id-ID"/>
              </w:rPr>
              <w:t>1*</w:t>
            </w:r>
            <w:r w:rsidRPr="008D1BEF">
              <w:rPr>
                <w:rStyle w:val="Hyperlink"/>
                <w:lang w:val="id-ID"/>
              </w:rPr>
              <w:t>, Putriana</w:t>
            </w:r>
            <w:r w:rsidRPr="008D1BEF">
              <w:rPr>
                <w:rStyle w:val="Hyperlink"/>
                <w:vertAlign w:val="superscript"/>
                <w:lang w:val="id-ID"/>
              </w:rPr>
              <w:t>2</w:t>
            </w:r>
            <w:r w:rsidRPr="008D1BEF">
              <w:rPr>
                <w:rStyle w:val="Hyperlink"/>
                <w:lang w:val="id-ID"/>
              </w:rPr>
              <w:t>, Muh. Akram</w:t>
            </w:r>
            <w:r w:rsidRPr="008D1BEF">
              <w:rPr>
                <w:rStyle w:val="Hyperlink"/>
                <w:vertAlign w:val="superscript"/>
                <w:lang w:val="id-ID"/>
              </w:rPr>
              <w:t>3</w:t>
            </w:r>
            <w:r w:rsidRPr="008D1BEF">
              <w:rPr>
                <w:rStyle w:val="Hyperlink"/>
                <w:lang w:val="id-ID"/>
              </w:rPr>
              <w:t>, Andi Nurul Aeni</w:t>
            </w:r>
            <w:r w:rsidRPr="008D1BEF">
              <w:rPr>
                <w:rStyle w:val="Hyperlink"/>
                <w:vertAlign w:val="superscript"/>
                <w:lang w:val="id-ID"/>
              </w:rPr>
              <w:t>4</w:t>
            </w:r>
            <w:r w:rsidRPr="008D1BEF">
              <w:rPr>
                <w:rStyle w:val="Hyperlink"/>
                <w:lang w:val="id-ID"/>
              </w:rPr>
              <w:t>, Andi Fahd  Aaqila Makkasau</w:t>
            </w:r>
            <w:r w:rsidRPr="008D1BEF">
              <w:rPr>
                <w:rStyle w:val="Hyperlink"/>
                <w:vertAlign w:val="superscript"/>
                <w:lang w:val="id-ID"/>
              </w:rPr>
              <w:t>5</w:t>
            </w:r>
          </w:hyperlink>
        </w:p>
        <w:p w14:paraId="61A6A3E5" w14:textId="18A137D9"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599" w:history="1">
            <w:r w:rsidRPr="008D1BEF">
              <w:rPr>
                <w:rStyle w:val="Hyperlink"/>
                <w:rFonts w:cs="Times New Roman"/>
                <w:sz w:val="22"/>
                <w:szCs w:val="22"/>
              </w:rPr>
              <w:t>The Ethics of AI-Powered Conversations: Exploring the Controversions Surrounding Chatbot AI</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_Toc197537599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34</w:t>
            </w:r>
            <w:r w:rsidRPr="008D1BEF">
              <w:rPr>
                <w:rFonts w:cs="Times New Roman"/>
                <w:webHidden/>
                <w:sz w:val="22"/>
                <w:szCs w:val="22"/>
              </w:rPr>
              <w:fldChar w:fldCharType="end"/>
            </w:r>
          </w:hyperlink>
        </w:p>
        <w:p w14:paraId="50EA79A2" w14:textId="16194E78" w:rsidR="00D250D8" w:rsidRPr="008D1BEF" w:rsidRDefault="00D250D8" w:rsidP="008D1BEF">
          <w:pPr>
            <w:pStyle w:val="TOC2"/>
            <w:spacing w:after="0"/>
            <w:ind w:left="142"/>
            <w:rPr>
              <w:kern w:val="2"/>
              <w:lang w:val="en-ID" w:eastAsia="en-ID"/>
              <w14:ligatures w14:val="standardContextual"/>
            </w:rPr>
          </w:pPr>
          <w:hyperlink w:anchor="_Toc197537600" w:history="1">
            <w:r w:rsidRPr="008D1BEF">
              <w:rPr>
                <w:rStyle w:val="Hyperlink"/>
              </w:rPr>
              <w:t>Azka Nur Khalila</w:t>
            </w:r>
            <w:r w:rsidRPr="008D1BEF">
              <w:rPr>
                <w:rStyle w:val="Hyperlink"/>
                <w:rFonts w:eastAsia="Times New Roman"/>
                <w:vertAlign w:val="superscript"/>
              </w:rPr>
              <w:t>1</w:t>
            </w:r>
            <w:r w:rsidRPr="008D1BEF">
              <w:rPr>
                <w:rStyle w:val="Hyperlink"/>
              </w:rPr>
              <w:t>, Shakira Azizah</w:t>
            </w:r>
            <w:r w:rsidRPr="008D1BEF">
              <w:rPr>
                <w:rStyle w:val="Hyperlink"/>
                <w:rFonts w:eastAsia="Times New Roman"/>
                <w:vertAlign w:val="superscript"/>
              </w:rPr>
              <w:t>2</w:t>
            </w:r>
            <w:r w:rsidRPr="008D1BEF">
              <w:rPr>
                <w:rStyle w:val="Hyperlink"/>
              </w:rPr>
              <w:t>, Laillan Nurcahyaningsih</w:t>
            </w:r>
            <w:r w:rsidRPr="008D1BEF">
              <w:rPr>
                <w:rStyle w:val="Hyperlink"/>
                <w:rFonts w:eastAsia="Times New Roman"/>
                <w:vertAlign w:val="superscript"/>
              </w:rPr>
              <w:t>3</w:t>
            </w:r>
            <w:r w:rsidRPr="008D1BEF">
              <w:rPr>
                <w:rStyle w:val="Hyperlink"/>
              </w:rPr>
              <w:t>, Hanna Monalisa</w:t>
            </w:r>
            <w:r w:rsidRPr="008D1BEF">
              <w:rPr>
                <w:rStyle w:val="Hyperlink"/>
                <w:rFonts w:eastAsia="Times New Roman"/>
                <w:vertAlign w:val="superscript"/>
              </w:rPr>
              <w:t>4</w:t>
            </w:r>
            <w:r w:rsidRPr="008D1BEF">
              <w:rPr>
                <w:rStyle w:val="Hyperlink"/>
              </w:rPr>
              <w:t>, Musdalifah</w:t>
            </w:r>
            <w:r w:rsidRPr="008D1BEF">
              <w:rPr>
                <w:rStyle w:val="Hyperlink"/>
                <w:rFonts w:eastAsia="Times New Roman"/>
                <w:vertAlign w:val="superscript"/>
              </w:rPr>
              <w:t>5</w:t>
            </w:r>
            <w:r w:rsidRPr="008D1BEF">
              <w:rPr>
                <w:rStyle w:val="Hyperlink"/>
              </w:rPr>
              <w:t>, Rina Juwita</w:t>
            </w:r>
            <w:r w:rsidRPr="008D1BEF">
              <w:rPr>
                <w:rStyle w:val="Hyperlink"/>
                <w:rFonts w:eastAsia="Times New Roman"/>
                <w:vertAlign w:val="superscript"/>
              </w:rPr>
              <w:t>6</w:t>
            </w:r>
          </w:hyperlink>
        </w:p>
        <w:p w14:paraId="4E4915D7" w14:textId="05CB9DB1"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601" w:history="1">
            <w:r w:rsidRPr="008D1BEF">
              <w:rPr>
                <w:rStyle w:val="Hyperlink"/>
                <w:rFonts w:cs="Times New Roman"/>
                <w:sz w:val="22"/>
                <w:szCs w:val="22"/>
              </w:rPr>
              <w:t>Media Portrayal of Teenagers and AI: A Quantitative Study on News Framing</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_Toc197537601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41</w:t>
            </w:r>
            <w:r w:rsidRPr="008D1BEF">
              <w:rPr>
                <w:rFonts w:cs="Times New Roman"/>
                <w:webHidden/>
                <w:sz w:val="22"/>
                <w:szCs w:val="22"/>
              </w:rPr>
              <w:fldChar w:fldCharType="end"/>
            </w:r>
          </w:hyperlink>
        </w:p>
        <w:p w14:paraId="64D7B8B6" w14:textId="5025C141" w:rsidR="00D250D8" w:rsidRPr="008D1BEF" w:rsidRDefault="00D250D8" w:rsidP="008D1BEF">
          <w:pPr>
            <w:pStyle w:val="TOC2"/>
            <w:spacing w:after="0"/>
            <w:ind w:left="142"/>
            <w:rPr>
              <w:kern w:val="2"/>
              <w:lang w:val="en-ID" w:eastAsia="en-ID"/>
              <w14:ligatures w14:val="standardContextual"/>
            </w:rPr>
          </w:pPr>
          <w:hyperlink w:anchor="_Toc197537602" w:history="1">
            <w:r w:rsidRPr="008D1BEF">
              <w:rPr>
                <w:rStyle w:val="Hyperlink"/>
                <w:lang w:val="id-ID"/>
              </w:rPr>
              <w:t>Sita Ayu Paramitha</w:t>
            </w:r>
            <w:r w:rsidRPr="008D1BEF">
              <w:rPr>
                <w:rStyle w:val="Hyperlink"/>
                <w:vertAlign w:val="superscript"/>
                <w:lang w:val="id-ID"/>
              </w:rPr>
              <w:t>1</w:t>
            </w:r>
            <w:r w:rsidRPr="008D1BEF">
              <w:rPr>
                <w:rStyle w:val="Hyperlink"/>
                <w:lang w:val="id-ID"/>
              </w:rPr>
              <w:t>, Muhammad Farid Adnan Hilmanur</w:t>
            </w:r>
            <w:r w:rsidRPr="008D1BEF">
              <w:rPr>
                <w:rStyle w:val="Hyperlink"/>
                <w:vertAlign w:val="superscript"/>
                <w:lang w:val="id-ID"/>
              </w:rPr>
              <w:t>2</w:t>
            </w:r>
            <w:r w:rsidRPr="008D1BEF">
              <w:rPr>
                <w:rStyle w:val="Hyperlink"/>
                <w:lang w:val="id-ID"/>
              </w:rPr>
              <w:t>, Nurazizah Rahman</w:t>
            </w:r>
            <w:r w:rsidRPr="008D1BEF">
              <w:rPr>
                <w:rStyle w:val="Hyperlink"/>
                <w:vertAlign w:val="superscript"/>
                <w:lang w:val="id-ID"/>
              </w:rPr>
              <w:t>3</w:t>
            </w:r>
            <w:r w:rsidRPr="008D1BEF">
              <w:rPr>
                <w:rStyle w:val="Hyperlink"/>
                <w:lang w:val="id-ID"/>
              </w:rPr>
              <w:t>, Inayah Azzahra Novareyna Safitri</w:t>
            </w:r>
            <w:r w:rsidRPr="008D1BEF">
              <w:rPr>
                <w:rStyle w:val="Hyperlink"/>
                <w:vertAlign w:val="superscript"/>
                <w:lang w:val="id-ID"/>
              </w:rPr>
              <w:t>4</w:t>
            </w:r>
            <w:r w:rsidRPr="008D1BEF">
              <w:rPr>
                <w:rStyle w:val="Hyperlink"/>
                <w:lang w:val="id-ID"/>
              </w:rPr>
              <w:t>, Rizky Natalia</w:t>
            </w:r>
            <w:r w:rsidRPr="008D1BEF">
              <w:rPr>
                <w:rStyle w:val="Hyperlink"/>
                <w:vertAlign w:val="superscript"/>
                <w:lang w:val="id-ID"/>
              </w:rPr>
              <w:t>5</w:t>
            </w:r>
          </w:hyperlink>
        </w:p>
        <w:p w14:paraId="42D615A1" w14:textId="757CF076"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603" w:history="1">
            <w:r w:rsidRPr="008D1BEF">
              <w:rPr>
                <w:rStyle w:val="Hyperlink"/>
                <w:rFonts w:cs="Times New Roman"/>
                <w:sz w:val="22"/>
                <w:szCs w:val="22"/>
                <w:lang w:val="en-US"/>
              </w:rPr>
              <w:t>AI in Political Communication: The Strategic Role of Artificial Intelligence in China’s Authoritarian Governance</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_Toc197537603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49</w:t>
            </w:r>
            <w:r w:rsidRPr="008D1BEF">
              <w:rPr>
                <w:rFonts w:cs="Times New Roman"/>
                <w:webHidden/>
                <w:sz w:val="22"/>
                <w:szCs w:val="22"/>
              </w:rPr>
              <w:fldChar w:fldCharType="end"/>
            </w:r>
          </w:hyperlink>
        </w:p>
        <w:p w14:paraId="2A089077" w14:textId="0F9A05BD" w:rsidR="00D250D8" w:rsidRPr="008D1BEF" w:rsidRDefault="00D250D8" w:rsidP="008D1BEF">
          <w:pPr>
            <w:pStyle w:val="TOC2"/>
            <w:spacing w:after="0"/>
            <w:ind w:left="142"/>
            <w:rPr>
              <w:kern w:val="2"/>
              <w:lang w:val="en-ID" w:eastAsia="en-ID"/>
              <w14:ligatures w14:val="standardContextual"/>
            </w:rPr>
          </w:pPr>
          <w:hyperlink w:anchor="_Toc197537604" w:history="1">
            <w:r w:rsidRPr="008D1BEF">
              <w:rPr>
                <w:rStyle w:val="Hyperlink"/>
              </w:rPr>
              <w:t>Muhammad Danu Raihan Ramadan</w:t>
            </w:r>
            <w:r w:rsidRPr="008D1BEF">
              <w:rPr>
                <w:rStyle w:val="Hyperlink"/>
                <w:vertAlign w:val="superscript"/>
              </w:rPr>
              <w:t>1</w:t>
            </w:r>
            <w:r w:rsidRPr="008D1BEF">
              <w:rPr>
                <w:rStyle w:val="Hyperlink"/>
              </w:rPr>
              <w:t>, Insyira Putri</w:t>
            </w:r>
            <w:r w:rsidRPr="008D1BEF">
              <w:rPr>
                <w:rStyle w:val="Hyperlink"/>
                <w:vertAlign w:val="superscript"/>
              </w:rPr>
              <w:t>2</w:t>
            </w:r>
            <w:r w:rsidRPr="008D1BEF">
              <w:rPr>
                <w:rStyle w:val="Hyperlink"/>
              </w:rPr>
              <w:t>, Nur Liyani</w:t>
            </w:r>
            <w:r w:rsidRPr="008D1BEF">
              <w:rPr>
                <w:rStyle w:val="Hyperlink"/>
                <w:vertAlign w:val="superscript"/>
              </w:rPr>
              <w:t>3</w:t>
            </w:r>
            <w:r w:rsidRPr="008D1BEF">
              <w:rPr>
                <w:rStyle w:val="Hyperlink"/>
              </w:rPr>
              <w:t>, Ni Luh Putu Setya Dewi</w:t>
            </w:r>
            <w:r w:rsidRPr="008D1BEF">
              <w:rPr>
                <w:rStyle w:val="Hyperlink"/>
                <w:vertAlign w:val="superscript"/>
              </w:rPr>
              <w:t>4</w:t>
            </w:r>
            <w:r w:rsidRPr="008D1BEF">
              <w:rPr>
                <w:rStyle w:val="Hyperlink"/>
              </w:rPr>
              <w:t>, Clarence Valerie Shane Tumbel</w:t>
            </w:r>
            <w:r w:rsidRPr="008D1BEF">
              <w:rPr>
                <w:rStyle w:val="Hyperlink"/>
                <w:vertAlign w:val="superscript"/>
              </w:rPr>
              <w:t>5</w:t>
            </w:r>
            <w:r w:rsidRPr="008D1BEF">
              <w:rPr>
                <w:rStyle w:val="Hyperlink"/>
              </w:rPr>
              <w:t>, Alfin Wong</w:t>
            </w:r>
            <w:r w:rsidRPr="008D1BEF">
              <w:rPr>
                <w:rStyle w:val="Hyperlink"/>
                <w:vertAlign w:val="superscript"/>
              </w:rPr>
              <w:t xml:space="preserve">6, </w:t>
            </w:r>
            <w:r w:rsidRPr="008D1BEF">
              <w:rPr>
                <w:rStyle w:val="Hyperlink"/>
              </w:rPr>
              <w:t>Rina Juwita</w:t>
            </w:r>
            <w:r w:rsidRPr="008D1BEF">
              <w:rPr>
                <w:rStyle w:val="Hyperlink"/>
                <w:vertAlign w:val="superscript"/>
              </w:rPr>
              <w:t>7</w:t>
            </w:r>
          </w:hyperlink>
        </w:p>
        <w:p w14:paraId="259AE9F1" w14:textId="2930AAEB"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605" w:history="1">
            <w:r w:rsidRPr="008D1BEF">
              <w:rPr>
                <w:rStyle w:val="Hyperlink"/>
                <w:rFonts w:cs="Times New Roman"/>
                <w:sz w:val="22"/>
                <w:szCs w:val="22"/>
                <w:lang w:val="en-US"/>
              </w:rPr>
              <w:t>Can AI Surpass Human Capabilities in Education? Exploring the Limits and Possibilities</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_Toc197537605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58</w:t>
            </w:r>
            <w:r w:rsidRPr="008D1BEF">
              <w:rPr>
                <w:rFonts w:cs="Times New Roman"/>
                <w:webHidden/>
                <w:sz w:val="22"/>
                <w:szCs w:val="22"/>
              </w:rPr>
              <w:fldChar w:fldCharType="end"/>
            </w:r>
          </w:hyperlink>
        </w:p>
        <w:p w14:paraId="430D8BAE" w14:textId="345EE31D" w:rsidR="00D250D8" w:rsidRPr="008D1BEF" w:rsidRDefault="00D250D8" w:rsidP="008D1BEF">
          <w:pPr>
            <w:pStyle w:val="TOC2"/>
            <w:spacing w:after="0"/>
            <w:ind w:left="142"/>
            <w:rPr>
              <w:kern w:val="2"/>
              <w:lang w:val="en-ID" w:eastAsia="en-ID"/>
              <w14:ligatures w14:val="standardContextual"/>
            </w:rPr>
          </w:pPr>
          <w:hyperlink w:anchor="_Toc197537606" w:history="1">
            <w:r w:rsidRPr="008D1BEF">
              <w:rPr>
                <w:rStyle w:val="Hyperlink"/>
              </w:rPr>
              <w:t>Ainaya Aulia</w:t>
            </w:r>
            <w:r w:rsidRPr="008D1BEF">
              <w:rPr>
                <w:rStyle w:val="Hyperlink"/>
                <w:vertAlign w:val="superscript"/>
              </w:rPr>
              <w:t>1</w:t>
            </w:r>
            <w:r w:rsidRPr="008D1BEF">
              <w:rPr>
                <w:rStyle w:val="Hyperlink"/>
              </w:rPr>
              <w:t>, Audrey Areta Ardelia</w:t>
            </w:r>
            <w:r w:rsidRPr="008D1BEF">
              <w:rPr>
                <w:rStyle w:val="Hyperlink"/>
                <w:vertAlign w:val="superscript"/>
              </w:rPr>
              <w:t>2</w:t>
            </w:r>
            <w:r w:rsidRPr="008D1BEF">
              <w:rPr>
                <w:rStyle w:val="Hyperlink"/>
              </w:rPr>
              <w:t>, Devi Triani</w:t>
            </w:r>
            <w:r w:rsidRPr="008D1BEF">
              <w:rPr>
                <w:rStyle w:val="Hyperlink"/>
                <w:vertAlign w:val="superscript"/>
              </w:rPr>
              <w:t>3</w:t>
            </w:r>
            <w:r w:rsidRPr="008D1BEF">
              <w:rPr>
                <w:rStyle w:val="Hyperlink"/>
              </w:rPr>
              <w:t>, Vivi Anabella</w:t>
            </w:r>
            <w:r w:rsidRPr="008D1BEF">
              <w:rPr>
                <w:rStyle w:val="Hyperlink"/>
                <w:vertAlign w:val="superscript"/>
              </w:rPr>
              <w:t>4</w:t>
            </w:r>
            <w:r w:rsidRPr="008D1BEF">
              <w:rPr>
                <w:rStyle w:val="Hyperlink"/>
              </w:rPr>
              <w:t>, Graceylla Ayu Nataliae Saranga</w:t>
            </w:r>
            <w:r w:rsidRPr="008D1BEF">
              <w:rPr>
                <w:rStyle w:val="Hyperlink"/>
                <w:vertAlign w:val="superscript"/>
              </w:rPr>
              <w:t>5</w:t>
            </w:r>
            <w:r w:rsidRPr="008D1BEF">
              <w:rPr>
                <w:rStyle w:val="Hyperlink"/>
              </w:rPr>
              <w:t>, Ayuni</w:t>
            </w:r>
            <w:r w:rsidRPr="008D1BEF">
              <w:rPr>
                <w:rStyle w:val="Hyperlink"/>
                <w:vertAlign w:val="superscript"/>
              </w:rPr>
              <w:t xml:space="preserve">6, </w:t>
            </w:r>
            <w:r w:rsidRPr="008D1BEF">
              <w:rPr>
                <w:rStyle w:val="Hyperlink"/>
              </w:rPr>
              <w:t>Rina Juwita</w:t>
            </w:r>
            <w:r w:rsidRPr="008D1BEF">
              <w:rPr>
                <w:rStyle w:val="Hyperlink"/>
                <w:vertAlign w:val="superscript"/>
              </w:rPr>
              <w:t>7</w:t>
            </w:r>
          </w:hyperlink>
        </w:p>
        <w:p w14:paraId="79B476D6" w14:textId="7B176FC3"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607" w:history="1">
            <w:r w:rsidRPr="008D1BEF">
              <w:rPr>
                <w:rStyle w:val="Hyperlink"/>
                <w:rFonts w:cs="Times New Roman"/>
                <w:sz w:val="22"/>
                <w:szCs w:val="22"/>
                <w:lang w:val="en-US"/>
              </w:rPr>
              <w:t>Social Criticism on the Objectification of Women in the NXDE Music Video by (G)I-DLE: A Semiotic Analysis</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_Toc197537607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67</w:t>
            </w:r>
            <w:r w:rsidRPr="008D1BEF">
              <w:rPr>
                <w:rFonts w:cs="Times New Roman"/>
                <w:webHidden/>
                <w:sz w:val="22"/>
                <w:szCs w:val="22"/>
              </w:rPr>
              <w:fldChar w:fldCharType="end"/>
            </w:r>
          </w:hyperlink>
        </w:p>
        <w:p w14:paraId="1B3FEDC6" w14:textId="012BB40F" w:rsidR="00D250D8" w:rsidRPr="008D1BEF" w:rsidRDefault="00D250D8" w:rsidP="008D1BEF">
          <w:pPr>
            <w:pStyle w:val="TOC2"/>
            <w:spacing w:after="0"/>
            <w:ind w:left="142"/>
            <w:rPr>
              <w:kern w:val="2"/>
              <w:lang w:eastAsia="en-ID"/>
              <w14:ligatures w14:val="standardContextual"/>
            </w:rPr>
          </w:pPr>
          <w:hyperlink w:anchor="_Toc197537608" w:history="1">
            <w:r w:rsidRPr="008D1BEF">
              <w:rPr>
                <w:rStyle w:val="Hyperlink"/>
                <w:lang w:val="en-ID"/>
              </w:rPr>
              <w:t>Alya Hanifah Irwadi</w:t>
            </w:r>
            <w:r w:rsidRPr="008D1BEF">
              <w:rPr>
                <w:rStyle w:val="Hyperlink"/>
                <w:vertAlign w:val="superscript"/>
                <w:lang w:val="en-ID"/>
              </w:rPr>
              <w:t>1*</w:t>
            </w:r>
            <w:r w:rsidRPr="008D1BEF">
              <w:rPr>
                <w:rStyle w:val="Hyperlink"/>
                <w:lang w:val="en-ID"/>
              </w:rPr>
              <w:t>, Rina Juwita</w:t>
            </w:r>
            <w:r w:rsidRPr="008D1BEF">
              <w:rPr>
                <w:rStyle w:val="Hyperlink"/>
                <w:vertAlign w:val="superscript"/>
                <w:lang w:val="en-ID"/>
              </w:rPr>
              <w:t>2</w:t>
            </w:r>
          </w:hyperlink>
        </w:p>
        <w:p w14:paraId="7E918C7C" w14:textId="78D0F49C" w:rsidR="00D250D8" w:rsidRPr="008D1BEF" w:rsidRDefault="00D250D8" w:rsidP="008D1BEF">
          <w:pPr>
            <w:pStyle w:val="TOC1"/>
            <w:spacing w:after="0"/>
            <w:ind w:left="142"/>
            <w:rPr>
              <w:rFonts w:eastAsiaTheme="minorEastAsia" w:cs="Times New Roman"/>
              <w:b w:val="0"/>
              <w:bCs w:val="0"/>
              <w:kern w:val="2"/>
              <w:sz w:val="22"/>
              <w:szCs w:val="22"/>
              <w:lang w:val="en-ID" w:eastAsia="en-ID"/>
              <w14:ligatures w14:val="standardContextual"/>
            </w:rPr>
          </w:pPr>
          <w:hyperlink w:anchor="_Toc197537609" w:history="1">
            <w:r w:rsidRPr="008D1BEF">
              <w:rPr>
                <w:rStyle w:val="Hyperlink"/>
                <w:rFonts w:cs="Times New Roman"/>
                <w:sz w:val="22"/>
                <w:szCs w:val="22"/>
              </w:rPr>
              <w:t>Balancing the Positive and Negative Impacts of AI in Education Through a Capacity Development-Centered Approach</w:t>
            </w:r>
            <w:r w:rsidRPr="008D1BEF">
              <w:rPr>
                <w:rFonts w:cs="Times New Roman"/>
                <w:webHidden/>
                <w:sz w:val="22"/>
                <w:szCs w:val="22"/>
              </w:rPr>
              <w:tab/>
            </w:r>
            <w:r w:rsidRPr="008D1BEF">
              <w:rPr>
                <w:rFonts w:cs="Times New Roman"/>
                <w:webHidden/>
                <w:sz w:val="22"/>
                <w:szCs w:val="22"/>
              </w:rPr>
              <w:fldChar w:fldCharType="begin"/>
            </w:r>
            <w:r w:rsidRPr="008D1BEF">
              <w:rPr>
                <w:rFonts w:cs="Times New Roman"/>
                <w:webHidden/>
                <w:sz w:val="22"/>
                <w:szCs w:val="22"/>
              </w:rPr>
              <w:instrText xml:space="preserve"> PAGEREF _Toc197537609 \h </w:instrText>
            </w:r>
            <w:r w:rsidRPr="008D1BEF">
              <w:rPr>
                <w:rFonts w:cs="Times New Roman"/>
                <w:webHidden/>
                <w:sz w:val="22"/>
                <w:szCs w:val="22"/>
              </w:rPr>
            </w:r>
            <w:r w:rsidRPr="008D1BEF">
              <w:rPr>
                <w:rFonts w:cs="Times New Roman"/>
                <w:webHidden/>
                <w:sz w:val="22"/>
                <w:szCs w:val="22"/>
              </w:rPr>
              <w:fldChar w:fldCharType="separate"/>
            </w:r>
            <w:r w:rsidR="008D1BEF">
              <w:rPr>
                <w:rFonts w:cs="Times New Roman"/>
                <w:webHidden/>
                <w:sz w:val="22"/>
                <w:szCs w:val="22"/>
              </w:rPr>
              <w:t>78</w:t>
            </w:r>
            <w:r w:rsidRPr="008D1BEF">
              <w:rPr>
                <w:rFonts w:cs="Times New Roman"/>
                <w:webHidden/>
                <w:sz w:val="22"/>
                <w:szCs w:val="22"/>
              </w:rPr>
              <w:fldChar w:fldCharType="end"/>
            </w:r>
          </w:hyperlink>
        </w:p>
        <w:p w14:paraId="30C75CCC" w14:textId="07173DEA" w:rsidR="00D250D8" w:rsidRPr="008D1BEF" w:rsidRDefault="00D250D8" w:rsidP="008D1BEF">
          <w:pPr>
            <w:pStyle w:val="TOC2"/>
            <w:spacing w:after="0"/>
            <w:ind w:left="142"/>
            <w:rPr>
              <w:kern w:val="2"/>
              <w:lang w:val="en-ID" w:eastAsia="en-ID"/>
              <w14:ligatures w14:val="standardContextual"/>
            </w:rPr>
          </w:pPr>
          <w:hyperlink w:anchor="_Toc197537610" w:history="1">
            <w:r w:rsidRPr="008D1BEF">
              <w:rPr>
                <w:rStyle w:val="Hyperlink"/>
              </w:rPr>
              <w:t>Andi Farhan Fauzi</w:t>
            </w:r>
            <w:r w:rsidRPr="008D1BEF">
              <w:rPr>
                <w:rStyle w:val="Hyperlink"/>
                <w:vertAlign w:val="superscript"/>
              </w:rPr>
              <w:t>1</w:t>
            </w:r>
            <w:r w:rsidRPr="008D1BEF">
              <w:rPr>
                <w:rStyle w:val="Hyperlink"/>
              </w:rPr>
              <w:t>, Jacinta Arkana Shafiqah Jasman</w:t>
            </w:r>
            <w:r w:rsidRPr="008D1BEF">
              <w:rPr>
                <w:rStyle w:val="Hyperlink"/>
                <w:vertAlign w:val="superscript"/>
              </w:rPr>
              <w:t>2</w:t>
            </w:r>
            <w:r w:rsidRPr="008D1BEF">
              <w:rPr>
                <w:rStyle w:val="Hyperlink"/>
              </w:rPr>
              <w:t>, Andi Naelah Marsya Salsabillah</w:t>
            </w:r>
            <w:r w:rsidRPr="008D1BEF">
              <w:rPr>
                <w:rStyle w:val="Hyperlink"/>
                <w:vertAlign w:val="superscript"/>
              </w:rPr>
              <w:t>2</w:t>
            </w:r>
            <w:r w:rsidRPr="008D1BEF">
              <w:rPr>
                <w:rStyle w:val="Hyperlink"/>
              </w:rPr>
              <w:t>, Hariashari Rahim</w:t>
            </w:r>
            <w:r w:rsidRPr="008D1BEF">
              <w:rPr>
                <w:rStyle w:val="Hyperlink"/>
                <w:vertAlign w:val="superscript"/>
              </w:rPr>
              <w:t>1*</w:t>
            </w:r>
          </w:hyperlink>
        </w:p>
        <w:p w14:paraId="4D40F699" w14:textId="6B3FB960" w:rsidR="008E37C0" w:rsidRDefault="008E37C0" w:rsidP="008D1BEF">
          <w:pPr>
            <w:spacing w:after="0"/>
            <w:ind w:left="142"/>
          </w:pPr>
          <w:r w:rsidRPr="008D1BEF">
            <w:rPr>
              <w:rFonts w:ascii="Times New Roman" w:hAnsi="Times New Roman" w:cs="Times New Roman"/>
              <w:b/>
              <w:bCs/>
              <w:noProof/>
            </w:rPr>
            <w:fldChar w:fldCharType="end"/>
          </w:r>
        </w:p>
      </w:sdtContent>
    </w:sdt>
    <w:p w14:paraId="5D1A2908" w14:textId="77777777" w:rsidR="006701AC" w:rsidRDefault="006701AC">
      <w:pPr>
        <w:sectPr w:rsidR="006701AC" w:rsidSect="006701AC">
          <w:type w:val="continuous"/>
          <w:pgSz w:w="11906" w:h="16838"/>
          <w:pgMar w:top="1440" w:right="1440" w:bottom="1440" w:left="1440" w:header="709" w:footer="709" w:gutter="0"/>
          <w:pgNumType w:fmt="lowerRoman" w:start="1"/>
          <w:cols w:space="720"/>
        </w:sectPr>
      </w:pPr>
    </w:p>
    <w:p w14:paraId="0034BC6D" w14:textId="77777777" w:rsidR="00620206" w:rsidRDefault="00620206">
      <w:pPr>
        <w:rPr>
          <w:rFonts w:ascii="Times New Roman" w:hAnsi="Times New Roman" w:cs="Times New Roman"/>
          <w:b/>
          <w:bCs/>
          <w:sz w:val="28"/>
          <w:szCs w:val="28"/>
        </w:rPr>
      </w:pPr>
      <w:r>
        <w:br w:type="page"/>
      </w:r>
    </w:p>
    <w:p w14:paraId="424EFE29" w14:textId="279AFEFB" w:rsidR="00D52DB9" w:rsidRPr="00620206" w:rsidRDefault="00425A83" w:rsidP="00620206">
      <w:pPr>
        <w:pStyle w:val="Heading1"/>
      </w:pPr>
      <w:bookmarkStart w:id="0" w:name="_Toc197537587"/>
      <w:r w:rsidRPr="00620206">
        <w:t>The Impact of Artificial Intelligence on Governance and Policy-Making in Malaysia</w:t>
      </w:r>
      <w:bookmarkEnd w:id="0"/>
    </w:p>
    <w:p w14:paraId="6B794987" w14:textId="77777777" w:rsidR="00D52DB9" w:rsidRDefault="00D52DB9">
      <w:pPr>
        <w:ind w:left="0"/>
        <w:jc w:val="left"/>
        <w:rPr>
          <w:rFonts w:ascii="Times New Roman" w:eastAsia="Times New Roman" w:hAnsi="Times New Roman" w:cs="Times New Roman"/>
          <w:b/>
          <w:sz w:val="24"/>
          <w:szCs w:val="24"/>
        </w:rPr>
      </w:pPr>
    </w:p>
    <w:p w14:paraId="2706A9B2" w14:textId="35CF852C" w:rsidR="00D52DB9" w:rsidRPr="006701AC" w:rsidRDefault="00425A83" w:rsidP="008E37C0">
      <w:pPr>
        <w:pStyle w:val="Heading2"/>
        <w:rPr>
          <w:lang w:val="en-ID"/>
        </w:rPr>
      </w:pPr>
      <w:bookmarkStart w:id="1" w:name="_Toc197537588"/>
      <w:r w:rsidRPr="006701AC">
        <w:rPr>
          <w:lang w:val="en-ID"/>
        </w:rPr>
        <w:t>Muhammad Amil Wong Tian</w:t>
      </w:r>
      <w:r w:rsidR="00966220">
        <w:rPr>
          <w:vertAlign w:val="superscript"/>
          <w:lang w:val="en-ID"/>
        </w:rPr>
        <w:t>1</w:t>
      </w:r>
      <w:bookmarkEnd w:id="1"/>
    </w:p>
    <w:p w14:paraId="45A8C9A3" w14:textId="77777777" w:rsidR="00D52DB9" w:rsidRDefault="00000000">
      <w:pPr>
        <w:spacing w:after="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00425A83">
        <w:rPr>
          <w:rFonts w:ascii="Times New Roman" w:eastAsia="Times New Roman" w:hAnsi="Times New Roman" w:cs="Times New Roman"/>
          <w:sz w:val="24"/>
          <w:szCs w:val="24"/>
        </w:rPr>
        <w:t>Bachelor of Arts International and Strategic Studies</w:t>
      </w:r>
      <w:r>
        <w:rPr>
          <w:rFonts w:ascii="Times New Roman" w:eastAsia="Times New Roman" w:hAnsi="Times New Roman" w:cs="Times New Roman"/>
          <w:sz w:val="24"/>
          <w:szCs w:val="24"/>
        </w:rPr>
        <w:t xml:space="preserve">, </w:t>
      </w:r>
      <w:r w:rsidR="00425A83">
        <w:rPr>
          <w:rFonts w:ascii="Times New Roman" w:eastAsia="Times New Roman" w:hAnsi="Times New Roman" w:cs="Times New Roman"/>
          <w:sz w:val="24"/>
          <w:szCs w:val="24"/>
        </w:rPr>
        <w:t>University of Malaya</w:t>
      </w:r>
      <w:r>
        <w:rPr>
          <w:rFonts w:ascii="Times New Roman" w:eastAsia="Times New Roman" w:hAnsi="Times New Roman" w:cs="Times New Roman"/>
          <w:sz w:val="24"/>
          <w:szCs w:val="24"/>
        </w:rPr>
        <w:t xml:space="preserve">, </w:t>
      </w:r>
      <w:r w:rsidR="00425A83">
        <w:rPr>
          <w:rFonts w:ascii="Times New Roman" w:eastAsia="Times New Roman" w:hAnsi="Times New Roman" w:cs="Times New Roman"/>
          <w:sz w:val="24"/>
          <w:szCs w:val="24"/>
        </w:rPr>
        <w:t>Kuala Lumpur</w:t>
      </w:r>
      <w:r>
        <w:rPr>
          <w:rFonts w:ascii="Times New Roman" w:eastAsia="Times New Roman" w:hAnsi="Times New Roman" w:cs="Times New Roman"/>
          <w:sz w:val="24"/>
          <w:szCs w:val="24"/>
        </w:rPr>
        <w:t xml:space="preserve">, </w:t>
      </w:r>
      <w:r w:rsidR="00425A83">
        <w:rPr>
          <w:rFonts w:ascii="Times New Roman" w:eastAsia="Times New Roman" w:hAnsi="Times New Roman" w:cs="Times New Roman"/>
          <w:sz w:val="24"/>
          <w:szCs w:val="24"/>
        </w:rPr>
        <w:t>Malaysia</w:t>
      </w:r>
    </w:p>
    <w:p w14:paraId="774C3FFD" w14:textId="77777777" w:rsidR="00D52DB9" w:rsidRDefault="00000000">
      <w:pPr>
        <w:spacing w:after="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a</w:t>
      </w:r>
      <w:r w:rsidR="00425A83">
        <w:rPr>
          <w:rFonts w:ascii="Times New Roman" w:eastAsia="Times New Roman" w:hAnsi="Times New Roman" w:cs="Times New Roman"/>
          <w:sz w:val="24"/>
          <w:szCs w:val="24"/>
        </w:rPr>
        <w:t>milwong99</w:t>
      </w:r>
      <w:r>
        <w:rPr>
          <w:rFonts w:ascii="Times New Roman" w:eastAsia="Times New Roman" w:hAnsi="Times New Roman" w:cs="Times New Roman"/>
          <w:sz w:val="24"/>
          <w:szCs w:val="24"/>
        </w:rPr>
        <w:t>@gmail.com</w:t>
      </w:r>
    </w:p>
    <w:p w14:paraId="22CB4FD5" w14:textId="77777777" w:rsidR="00726AE4" w:rsidRDefault="00726AE4">
      <w:pPr>
        <w:ind w:firstLine="357"/>
        <w:jc w:val="center"/>
        <w:rPr>
          <w:rFonts w:ascii="Times New Roman" w:eastAsia="Times New Roman" w:hAnsi="Times New Roman" w:cs="Times New Roman"/>
          <w:b/>
          <w:sz w:val="24"/>
          <w:szCs w:val="24"/>
        </w:rPr>
      </w:pPr>
    </w:p>
    <w:p w14:paraId="7F0C018A" w14:textId="7A121562" w:rsidR="00D52DB9" w:rsidRDefault="00000000">
      <w:pPr>
        <w:ind w:firstLine="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5416FF9C" w14:textId="77777777" w:rsidR="00D52DB9" w:rsidRDefault="00425A83" w:rsidP="00425A83">
      <w:pPr>
        <w:spacing w:line="240" w:lineRule="auto"/>
        <w:ind w:firstLine="357"/>
        <w:rPr>
          <w:rFonts w:ascii="Times New Roman" w:eastAsia="Times New Roman" w:hAnsi="Times New Roman" w:cs="Times New Roman"/>
          <w:sz w:val="18"/>
          <w:szCs w:val="18"/>
        </w:rPr>
      </w:pPr>
      <w:r w:rsidRPr="00425A83">
        <w:rPr>
          <w:rFonts w:ascii="Times New Roman" w:eastAsia="Times New Roman" w:hAnsi="Times New Roman" w:cs="Times New Roman"/>
          <w:sz w:val="18"/>
          <w:szCs w:val="18"/>
        </w:rPr>
        <w:t>This paper explores the transformative role of Artificial Intelligence (AI) in governance and</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policy-making, with a focus on Malaysia. With initiatives like the Digital Economy Blueprint</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(MyDigital) and Putrajaya Smart City, Malaysia demonstrates a commitment to integrating AI</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into its governance framework. AI applications span urban planning, e-governance, and public</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service delivery, offering potential for efficiency and innovation. However, challenges such as</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ethical concerns, resource constraints, and public skepticism hinder its full implementation.</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Using a comprehensive methodology combining qualitative research and literature review, this</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paper provides insights into Malaysia’s AI initiatives, their socio-political implications, and</w:t>
      </w:r>
      <w:r>
        <w:rPr>
          <w:rFonts w:ascii="Times New Roman" w:eastAsia="Times New Roman" w:hAnsi="Times New Roman" w:cs="Times New Roman"/>
          <w:sz w:val="18"/>
          <w:szCs w:val="18"/>
        </w:rPr>
        <w:t xml:space="preserve"> </w:t>
      </w:r>
      <w:r w:rsidRPr="00425A83">
        <w:rPr>
          <w:rFonts w:ascii="Times New Roman" w:eastAsia="Times New Roman" w:hAnsi="Times New Roman" w:cs="Times New Roman"/>
          <w:sz w:val="18"/>
          <w:szCs w:val="18"/>
        </w:rPr>
        <w:t>strategies to ensure ethical and impactful adoption.</w:t>
      </w:r>
    </w:p>
    <w:p w14:paraId="1158E23C" w14:textId="77777777" w:rsidR="00D52DB9" w:rsidRDefault="00000000" w:rsidP="00606CDC">
      <w:pPr>
        <w:spacing w:line="240" w:lineRule="auto"/>
        <w:ind w:left="0" w:firstLine="357"/>
        <w:rPr>
          <w:rFonts w:ascii="Times New Roman" w:eastAsia="Times New Roman" w:hAnsi="Times New Roman" w:cs="Times New Roman"/>
          <w:i/>
          <w:sz w:val="18"/>
          <w:szCs w:val="18"/>
        </w:rPr>
      </w:pPr>
      <w:r>
        <w:rPr>
          <w:rFonts w:ascii="Times New Roman" w:eastAsia="Times New Roman" w:hAnsi="Times New Roman" w:cs="Times New Roman"/>
          <w:b/>
          <w:i/>
          <w:sz w:val="18"/>
          <w:szCs w:val="18"/>
        </w:rPr>
        <w:t>Keywords:</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 xml:space="preserve">artificial intelligence; </w:t>
      </w:r>
      <w:r w:rsidR="00F74FC0">
        <w:rPr>
          <w:rFonts w:ascii="Times New Roman" w:eastAsia="Times New Roman" w:hAnsi="Times New Roman" w:cs="Times New Roman"/>
          <w:i/>
          <w:sz w:val="18"/>
          <w:szCs w:val="18"/>
        </w:rPr>
        <w:t>governance</w:t>
      </w:r>
      <w:r>
        <w:rPr>
          <w:rFonts w:ascii="Times New Roman" w:eastAsia="Times New Roman" w:hAnsi="Times New Roman" w:cs="Times New Roman"/>
          <w:i/>
          <w:sz w:val="18"/>
          <w:szCs w:val="18"/>
        </w:rPr>
        <w:t xml:space="preserve">; </w:t>
      </w:r>
      <w:r w:rsidR="00F74FC0">
        <w:rPr>
          <w:rFonts w:ascii="Times New Roman" w:eastAsia="Times New Roman" w:hAnsi="Times New Roman" w:cs="Times New Roman"/>
          <w:i/>
          <w:sz w:val="18"/>
          <w:szCs w:val="18"/>
        </w:rPr>
        <w:t>policy-making</w:t>
      </w:r>
      <w:r>
        <w:rPr>
          <w:rFonts w:ascii="Times New Roman" w:eastAsia="Times New Roman" w:hAnsi="Times New Roman" w:cs="Times New Roman"/>
          <w:i/>
          <w:sz w:val="18"/>
          <w:szCs w:val="18"/>
        </w:rPr>
        <w:t xml:space="preserve">; </w:t>
      </w:r>
      <w:r w:rsidR="00F74FC0">
        <w:rPr>
          <w:rFonts w:ascii="Times New Roman" w:eastAsia="Times New Roman" w:hAnsi="Times New Roman" w:cs="Times New Roman"/>
          <w:i/>
          <w:sz w:val="18"/>
          <w:szCs w:val="18"/>
        </w:rPr>
        <w:t>socio-political implications</w:t>
      </w:r>
      <w:r>
        <w:rPr>
          <w:rFonts w:ascii="Times New Roman" w:eastAsia="Times New Roman" w:hAnsi="Times New Roman" w:cs="Times New Roman"/>
          <w:i/>
          <w:sz w:val="18"/>
          <w:szCs w:val="18"/>
        </w:rPr>
        <w:t xml:space="preserve">; </w:t>
      </w:r>
      <w:r w:rsidR="00F74FC0">
        <w:rPr>
          <w:rFonts w:ascii="Times New Roman" w:eastAsia="Times New Roman" w:hAnsi="Times New Roman" w:cs="Times New Roman"/>
          <w:i/>
          <w:sz w:val="18"/>
          <w:szCs w:val="18"/>
        </w:rPr>
        <w:t>initiative</w:t>
      </w:r>
      <w:r>
        <w:rPr>
          <w:rFonts w:ascii="Times New Roman" w:eastAsia="Times New Roman" w:hAnsi="Times New Roman" w:cs="Times New Roman"/>
          <w:i/>
          <w:sz w:val="18"/>
          <w:szCs w:val="18"/>
        </w:rPr>
        <w:t xml:space="preserve">; </w:t>
      </w:r>
      <w:r w:rsidR="00F74FC0">
        <w:rPr>
          <w:rFonts w:ascii="Times New Roman" w:eastAsia="Times New Roman" w:hAnsi="Times New Roman" w:cs="Times New Roman"/>
          <w:i/>
          <w:sz w:val="18"/>
          <w:szCs w:val="18"/>
        </w:rPr>
        <w:t>adoption</w:t>
      </w:r>
    </w:p>
    <w:p w14:paraId="19EBD41E" w14:textId="77777777" w:rsidR="00D52DB9" w:rsidRDefault="00D52DB9">
      <w:pPr>
        <w:spacing w:line="240" w:lineRule="auto"/>
        <w:ind w:firstLine="357"/>
        <w:rPr>
          <w:rFonts w:ascii="Times New Roman" w:eastAsia="Times New Roman" w:hAnsi="Times New Roman" w:cs="Times New Roman"/>
          <w:i/>
          <w:sz w:val="18"/>
          <w:szCs w:val="18"/>
        </w:rPr>
      </w:pPr>
    </w:p>
    <w:p w14:paraId="07353ED8" w14:textId="77777777" w:rsidR="00D52DB9" w:rsidRDefault="00000000">
      <w:pPr>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20B8A3EF" w14:textId="77777777" w:rsid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b/>
          <w:sz w:val="24"/>
          <w:szCs w:val="24"/>
          <w:lang w:val="en-US"/>
        </w:rPr>
      </w:pPr>
      <w:r w:rsidRPr="00F74FC0">
        <w:rPr>
          <w:rFonts w:ascii="Times New Roman" w:eastAsia="Times New Roman" w:hAnsi="Times New Roman" w:cs="Times New Roman"/>
          <w:sz w:val="20"/>
          <w:szCs w:val="20"/>
          <w:lang w:val="en-US"/>
        </w:rPr>
        <w:t>Artificial Intelligence (AI) has emerged as a transformative force in governance, fundamentally reshaping how governments operate and engage with their citizens. By enabling data-driven decision-making, automating services, and fostering greater citizen participation, AI offers the potential to create more efficient, transparent, and inclusive governance systems. Malaysia, recognizing these possibilities, has positioned AI as a critical pillar of its modernization efforts, especially as the nation strives to become a global leader in the digital economy under its Digital Economy Blueprint (</w:t>
      </w:r>
      <w:proofErr w:type="spellStart"/>
      <w:r w:rsidRPr="00F74FC0">
        <w:rPr>
          <w:rFonts w:ascii="Times New Roman" w:eastAsia="Times New Roman" w:hAnsi="Times New Roman" w:cs="Times New Roman"/>
          <w:sz w:val="20"/>
          <w:szCs w:val="20"/>
          <w:lang w:val="en-US"/>
        </w:rPr>
        <w:t>MyDigital</w:t>
      </w:r>
      <w:proofErr w:type="spellEnd"/>
      <w:r w:rsidRPr="00F74FC0">
        <w:rPr>
          <w:rFonts w:ascii="Times New Roman" w:eastAsia="Times New Roman" w:hAnsi="Times New Roman" w:cs="Times New Roman"/>
          <w:sz w:val="20"/>
          <w:szCs w:val="20"/>
          <w:lang w:val="en-US"/>
        </w:rPr>
        <w:t>). However, as Malaysia navigates this AI-driven transformation, it must confront and address pressing challenges that could impede its success.</w:t>
      </w:r>
      <w:r w:rsidRPr="00F74FC0">
        <w:rPr>
          <w:rFonts w:ascii="Times New Roman" w:eastAsia="Times New Roman" w:hAnsi="Times New Roman" w:cs="Times New Roman"/>
          <w:b/>
          <w:sz w:val="24"/>
          <w:szCs w:val="24"/>
          <w:lang w:val="en-US"/>
        </w:rPr>
        <w:t xml:space="preserve"> </w:t>
      </w:r>
    </w:p>
    <w:p w14:paraId="6675DBE4" w14:textId="77777777" w:rsid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rPr>
      </w:pPr>
      <w:r w:rsidRPr="00F74FC0">
        <w:rPr>
          <w:rFonts w:ascii="Times New Roman" w:eastAsia="Times New Roman" w:hAnsi="Times New Roman" w:cs="Times New Roman"/>
          <w:sz w:val="20"/>
          <w:szCs w:val="20"/>
        </w:rPr>
        <w:t>The integration of AI into governance is not just a technological shift but a socio-political evolution. Initiatives such as the Putrajaya Smart City showcase AI’s potential to revolutionize urban management. By leveraging predictive analytics, AI can optimize traffic flow, improve waste management, and enhance energy efficiency. Similarly, automated public services, such as tax filings and permit processing, have the capacity to significantly reduce administrative bottlenecks, making government interactions more seamless for citizens. These advancements align with Malaysia’s broader vision of a digital-first economy, emphasizing efficiency and innovation as cornerstones of national growth. Beyond operational improvements, AI also enables governments to respond to complex societal challenges. For example, during the COVID-19 pandemic, AI-driven digital health initiatives allowed for rapid contact tracing, resource allocation, and predictive modeling of virus spread.</w:t>
      </w:r>
      <w:r>
        <w:rPr>
          <w:rFonts w:ascii="Times New Roman" w:eastAsia="Times New Roman" w:hAnsi="Times New Roman" w:cs="Times New Roman"/>
          <w:sz w:val="20"/>
          <w:szCs w:val="20"/>
        </w:rPr>
        <w:t xml:space="preserve"> </w:t>
      </w:r>
    </w:p>
    <w:p w14:paraId="5281B263" w14:textId="77777777" w:rsidR="00F74FC0" w:rsidRP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lang w:val="en-US"/>
        </w:rPr>
      </w:pPr>
      <w:r w:rsidRPr="00F74FC0">
        <w:rPr>
          <w:rFonts w:ascii="Times New Roman" w:eastAsia="Times New Roman" w:hAnsi="Times New Roman" w:cs="Times New Roman"/>
          <w:sz w:val="20"/>
          <w:szCs w:val="20"/>
        </w:rPr>
        <w:t>Yet, the promise of AI in governance is tempered by significant obstacles. Ethical concerns, such as biases in AI algorithms, pose a real risk to fairness and inclusivity. If left unchecked, these biases could perpetuate existing inequalities, particularly among marginalized communities. For a diverse country like Malaysia, ensuring that AI systems reflect the needs and realities of all ethnic and socioeconomic groups is both a moral and practical imperative. Addressing this issue requires rigorous testing, transparency in algorithm design, and active stakeholder involvement to minimize potential harms</w:t>
      </w:r>
      <w:r>
        <w:rPr>
          <w:rFonts w:ascii="Times New Roman" w:eastAsia="Times New Roman" w:hAnsi="Times New Roman" w:cs="Times New Roman"/>
          <w:sz w:val="20"/>
          <w:szCs w:val="20"/>
        </w:rPr>
        <w:t xml:space="preserve">. </w:t>
      </w:r>
      <w:r w:rsidRPr="00F74FC0">
        <w:rPr>
          <w:rFonts w:ascii="Times New Roman" w:eastAsia="Times New Roman" w:hAnsi="Times New Roman" w:cs="Times New Roman"/>
          <w:sz w:val="20"/>
          <w:szCs w:val="20"/>
          <w:lang w:val="en-US"/>
        </w:rPr>
        <w:t>Resource constraints further complicate the adoption of AI in governance. Developing and deploying AI systems require significant financial investment, technical expertise, and infrastructure—resources that may not always be readily available, particularly at the state and local levels. Moreover, there is a pressing need for capacity building among government personnel to ensure that AI tools are effectively utilized. Without adequate training and resources, even the most advanced AI systems risk underutilization or misuse.</w:t>
      </w:r>
    </w:p>
    <w:p w14:paraId="54A563C5" w14:textId="77777777" w:rsidR="00F74FC0" w:rsidRP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lang w:val="en-US"/>
        </w:rPr>
      </w:pPr>
      <w:r w:rsidRPr="00F74FC0">
        <w:rPr>
          <w:rFonts w:ascii="Times New Roman" w:eastAsia="Times New Roman" w:hAnsi="Times New Roman" w:cs="Times New Roman"/>
          <w:sz w:val="20"/>
          <w:szCs w:val="20"/>
          <w:lang w:val="en-US"/>
        </w:rPr>
        <w:t xml:space="preserve">Policy gaps also hinder the seamless integration of AI into governance. While Malaysia has laid the groundwork with initiatives like </w:t>
      </w:r>
      <w:proofErr w:type="spellStart"/>
      <w:r w:rsidRPr="00F74FC0">
        <w:rPr>
          <w:rFonts w:ascii="Times New Roman" w:eastAsia="Times New Roman" w:hAnsi="Times New Roman" w:cs="Times New Roman"/>
          <w:sz w:val="20"/>
          <w:szCs w:val="20"/>
          <w:lang w:val="en-US"/>
        </w:rPr>
        <w:t>MyDigital</w:t>
      </w:r>
      <w:proofErr w:type="spellEnd"/>
      <w:r w:rsidRPr="00F74FC0">
        <w:rPr>
          <w:rFonts w:ascii="Times New Roman" w:eastAsia="Times New Roman" w:hAnsi="Times New Roman" w:cs="Times New Roman"/>
          <w:sz w:val="20"/>
          <w:szCs w:val="20"/>
          <w:lang w:val="en-US"/>
        </w:rPr>
        <w:t>, the regulatory landscape remains underdeveloped in key areas such as data privacy, accountability, and ethical AI deployment. These gaps not only expose citizens to potential risks but also erode public trust in AI-driven governance. Public skepticism can be further exacerbated by the lack of inclusive policymaking processes, where communities feel alienated from decisions that directly impact their lives.</w:t>
      </w:r>
    </w:p>
    <w:p w14:paraId="67F1544E" w14:textId="77777777" w:rsidR="00F74FC0" w:rsidRP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lang w:val="en-US"/>
        </w:rPr>
      </w:pPr>
      <w:r w:rsidRPr="00F74FC0">
        <w:rPr>
          <w:rFonts w:ascii="Times New Roman" w:eastAsia="Times New Roman" w:hAnsi="Times New Roman" w:cs="Times New Roman"/>
          <w:sz w:val="20"/>
          <w:szCs w:val="20"/>
          <w:lang w:val="en-US"/>
        </w:rPr>
        <w:t>Despite these challenges, the path forward is clear. To fully harness AI’s potential, Malaysia must adopt a holistic and inclusive approach. This includes strengthening ethical frameworks, fostering public-private partnerships to address resource limitations, and prioritizing public engagement in policy making. Collaboration with international organizations and tech leaders can also provide valuable insights and resources, enabling Malaysia to leapfrog developmental barriers. Ultimately, AI should not be seen merely as a tool for modernization but as a means to build a governance system that is more responsive, accountable, and human-centered.</w:t>
      </w:r>
    </w:p>
    <w:p w14:paraId="303C2913" w14:textId="77777777" w:rsidR="00D52DB9" w:rsidRPr="00F74FC0" w:rsidRDefault="00F74FC0" w:rsidP="003108B2">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lang w:val="en-US"/>
        </w:rPr>
      </w:pPr>
      <w:r w:rsidRPr="00F74FC0">
        <w:rPr>
          <w:rFonts w:ascii="Times New Roman" w:eastAsia="Times New Roman" w:hAnsi="Times New Roman" w:cs="Times New Roman"/>
          <w:sz w:val="20"/>
          <w:szCs w:val="20"/>
          <w:lang w:val="en-US"/>
        </w:rPr>
        <w:t>The integration of AI into Malaysian governance is not without its complexities, but the rewards far outweigh the risks if approached thoughtfully. By addressing ethical concerns, closing resource gaps, and fostering an inclusive regulatory environment, Malaysia can position itself as a global leader in AI-driven governance, setting a powerful example for other nations navigating similar transitions.</w:t>
      </w:r>
    </w:p>
    <w:p w14:paraId="0F009798" w14:textId="77777777" w:rsidR="00D52DB9" w:rsidRDefault="00D52DB9">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0"/>
          <w:szCs w:val="20"/>
        </w:rPr>
      </w:pPr>
    </w:p>
    <w:p w14:paraId="24C465F5" w14:textId="77777777" w:rsidR="00D52DB9" w:rsidRDefault="00000000">
      <w:pPr>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Methods</w:t>
      </w:r>
    </w:p>
    <w:p w14:paraId="1D882346" w14:textId="77777777" w:rsidR="003108B2" w:rsidRDefault="003108B2" w:rsidP="003108B2">
      <w:pPr>
        <w:spacing w:after="0" w:line="240" w:lineRule="auto"/>
        <w:ind w:left="717" w:firstLine="363"/>
        <w:rPr>
          <w:rFonts w:ascii="Times New Roman" w:eastAsia="Times New Roman" w:hAnsi="Times New Roman" w:cs="Times New Roman"/>
          <w:sz w:val="20"/>
          <w:szCs w:val="20"/>
          <w:lang w:val="en-US"/>
        </w:rPr>
      </w:pPr>
      <w:r w:rsidRPr="003108B2">
        <w:rPr>
          <w:rFonts w:ascii="Times New Roman" w:eastAsia="Times New Roman" w:hAnsi="Times New Roman" w:cs="Times New Roman"/>
          <w:sz w:val="20"/>
          <w:szCs w:val="20"/>
          <w:lang w:val="en-US"/>
        </w:rPr>
        <w:t>This research adopts a qualitative approach to explore the role of Artificial Intelligence (AI) in governance and policy-making in Malaysia. The study focuses on understanding AI’s applications, the challenges it presents, and the strategies needed for its effective integration. To achieve this, a combination of systematic literature review, thematic analysis, and case study exploration was employed, ensuring a thorough and nuanced examination of the topic.</w:t>
      </w:r>
      <w:r>
        <w:rPr>
          <w:rFonts w:ascii="Times New Roman" w:eastAsia="Times New Roman" w:hAnsi="Times New Roman" w:cs="Times New Roman"/>
          <w:sz w:val="20"/>
          <w:szCs w:val="20"/>
          <w:lang w:val="en-US"/>
        </w:rPr>
        <w:t xml:space="preserve"> </w:t>
      </w:r>
    </w:p>
    <w:p w14:paraId="0ABE01E9" w14:textId="77777777" w:rsidR="003108B2" w:rsidRDefault="003108B2" w:rsidP="003108B2">
      <w:pPr>
        <w:spacing w:after="0" w:line="240" w:lineRule="auto"/>
        <w:ind w:left="717" w:firstLine="363"/>
        <w:rPr>
          <w:rFonts w:ascii="Times New Roman" w:eastAsia="Times New Roman" w:hAnsi="Times New Roman" w:cs="Times New Roman"/>
          <w:sz w:val="20"/>
          <w:szCs w:val="20"/>
        </w:rPr>
      </w:pPr>
      <w:r w:rsidRPr="003108B2">
        <w:rPr>
          <w:rFonts w:ascii="Times New Roman" w:eastAsia="Times New Roman" w:hAnsi="Times New Roman" w:cs="Times New Roman"/>
          <w:sz w:val="20"/>
          <w:szCs w:val="20"/>
        </w:rPr>
        <w:t xml:space="preserve">The </w:t>
      </w:r>
      <w:r w:rsidRPr="003108B2">
        <w:rPr>
          <w:rFonts w:ascii="Times New Roman" w:eastAsia="Times New Roman" w:hAnsi="Times New Roman" w:cs="Times New Roman"/>
          <w:b/>
          <w:sz w:val="20"/>
          <w:szCs w:val="20"/>
        </w:rPr>
        <w:t xml:space="preserve">literature review </w:t>
      </w:r>
      <w:r w:rsidRPr="003108B2">
        <w:rPr>
          <w:rFonts w:ascii="Times New Roman" w:eastAsia="Times New Roman" w:hAnsi="Times New Roman" w:cs="Times New Roman"/>
          <w:sz w:val="20"/>
          <w:szCs w:val="20"/>
        </w:rPr>
        <w:t>forms the backbone of this research, drawing from a variety of sources such as academic journals, government publications, and case studies. Key platforms like ResearchGate, MDPI, and Springer provided access to credible and relevant materials. By analyzing these sources, the study identified how AI is currently applied in areas like urban planning, public service automation, and e-governance. Additionally, the literature highlighted the challenges faced in Malaysia, including ethical concerns, resource limitations, and public skepticism. Government reports, especially those related to initiatives like the Digital Economy Blueprint and the Putrajaya Smart City project, offered valuable insights into Malaysia’s AI-driven governance efforts.</w:t>
      </w:r>
      <w:r>
        <w:rPr>
          <w:rFonts w:ascii="Times New Roman" w:eastAsia="Times New Roman" w:hAnsi="Times New Roman" w:cs="Times New Roman"/>
          <w:sz w:val="20"/>
          <w:szCs w:val="20"/>
        </w:rPr>
        <w:t xml:space="preserve"> </w:t>
      </w:r>
    </w:p>
    <w:p w14:paraId="365BF414" w14:textId="77777777" w:rsidR="003108B2" w:rsidRDefault="003108B2" w:rsidP="003108B2">
      <w:pPr>
        <w:spacing w:after="0" w:line="240" w:lineRule="auto"/>
        <w:ind w:left="717" w:firstLine="363"/>
        <w:rPr>
          <w:rFonts w:ascii="Times New Roman" w:eastAsia="Times New Roman" w:hAnsi="Times New Roman" w:cs="Times New Roman"/>
          <w:sz w:val="20"/>
          <w:szCs w:val="20"/>
          <w:lang w:val="en-US"/>
        </w:rPr>
      </w:pPr>
      <w:r w:rsidRPr="003108B2">
        <w:rPr>
          <w:rFonts w:ascii="Times New Roman" w:eastAsia="Times New Roman" w:hAnsi="Times New Roman" w:cs="Times New Roman"/>
          <w:sz w:val="20"/>
          <w:szCs w:val="20"/>
          <w:lang w:val="en-US"/>
        </w:rPr>
        <w:t>The findings from the literature review were analyzed using thematic analysis, which helped organize the information into key areas of interest. These themes included AI’s role in urban planning, ethical considerations, resource-related barriers, and the need for robust policy development. This structured approach provided clarity and allowed for a detailed exploration of how AI impacts governance and policy-making at multiple levels. By breaking down the data into focused themes, the study could highlight patterns and gaps that are critical to understanding the broader implications of AI integration.</w:t>
      </w:r>
      <w:r>
        <w:rPr>
          <w:rFonts w:ascii="Times New Roman" w:eastAsia="Times New Roman" w:hAnsi="Times New Roman" w:cs="Times New Roman"/>
          <w:sz w:val="20"/>
          <w:szCs w:val="20"/>
          <w:lang w:val="en-US"/>
        </w:rPr>
        <w:t xml:space="preserve"> </w:t>
      </w:r>
    </w:p>
    <w:p w14:paraId="00AF7218" w14:textId="77777777" w:rsidR="003108B2" w:rsidRPr="003108B2" w:rsidRDefault="003108B2" w:rsidP="003108B2">
      <w:pPr>
        <w:spacing w:after="0" w:line="240" w:lineRule="auto"/>
        <w:ind w:left="717" w:firstLine="363"/>
        <w:rPr>
          <w:rFonts w:ascii="Times New Roman" w:eastAsia="Times New Roman" w:hAnsi="Times New Roman" w:cs="Times New Roman"/>
          <w:sz w:val="20"/>
          <w:szCs w:val="20"/>
          <w:lang w:val="en-US"/>
        </w:rPr>
      </w:pPr>
      <w:r w:rsidRPr="003108B2">
        <w:rPr>
          <w:rFonts w:ascii="Times New Roman" w:eastAsia="Times New Roman" w:hAnsi="Times New Roman" w:cs="Times New Roman"/>
          <w:b/>
          <w:bCs/>
          <w:sz w:val="20"/>
          <w:szCs w:val="20"/>
        </w:rPr>
        <w:t>A case study analysis</w:t>
      </w:r>
      <w:r w:rsidRPr="003108B2">
        <w:rPr>
          <w:rFonts w:ascii="Times New Roman" w:eastAsia="Times New Roman" w:hAnsi="Times New Roman" w:cs="Times New Roman"/>
          <w:sz w:val="20"/>
          <w:szCs w:val="20"/>
        </w:rPr>
        <w:t xml:space="preserve"> was also conducted, focusing on the Putrajaya Smart City Initiative. This initiative was selected as it represents a practical example of AI’s implementation in urban management within Malaysia. By examining its successes and challenges, the study shed light on the practicalities of adopting AI in governance. For instance, the initiative demonstrates how AI can enhance traffic management, energy use, and waste collection, but it also reveals the hurdles, such as public acceptance and technical resource requirements, that</w:t>
      </w:r>
      <w:r>
        <w:rPr>
          <w:rFonts w:ascii="Times New Roman" w:eastAsia="Times New Roman" w:hAnsi="Times New Roman" w:cs="Times New Roman"/>
          <w:sz w:val="20"/>
          <w:szCs w:val="20"/>
        </w:rPr>
        <w:t xml:space="preserve"> </w:t>
      </w:r>
      <w:r w:rsidRPr="003108B2">
        <w:rPr>
          <w:rFonts w:ascii="Times New Roman" w:eastAsia="Times New Roman" w:hAnsi="Times New Roman" w:cs="Times New Roman"/>
          <w:sz w:val="20"/>
          <w:szCs w:val="20"/>
          <w:lang w:val="en-US"/>
        </w:rPr>
        <w:t>come with such advancements. The case study served as a real-world illustration, bridging the gap between theoretical insights and tangible outcomes.</w:t>
      </w:r>
    </w:p>
    <w:p w14:paraId="65B8B97D" w14:textId="77777777" w:rsidR="00D52DB9" w:rsidRDefault="003108B2" w:rsidP="003108B2">
      <w:pPr>
        <w:spacing w:after="0" w:line="240" w:lineRule="auto"/>
        <w:ind w:left="717" w:firstLine="363"/>
        <w:rPr>
          <w:rFonts w:ascii="Times New Roman" w:eastAsia="Times New Roman" w:hAnsi="Times New Roman" w:cs="Times New Roman"/>
          <w:sz w:val="20"/>
          <w:szCs w:val="20"/>
        </w:rPr>
      </w:pPr>
      <w:r w:rsidRPr="003108B2">
        <w:rPr>
          <w:rFonts w:ascii="Times New Roman" w:eastAsia="Times New Roman" w:hAnsi="Times New Roman" w:cs="Times New Roman"/>
          <w:sz w:val="20"/>
          <w:szCs w:val="20"/>
          <w:lang w:val="en-US"/>
        </w:rPr>
        <w:t>This methodological approach ensures that the research captures both the theoretical and practical dimensions of AI in governance. By combining the literature review, thematic analysis, and case study, the study provides a comprehensive and balanced perspective on how AI can transform governance in Malaysia. Moreover, this approach allows for a deeper understanding of the challenges that must be addressed to ensure AI’s integration is ethical, inclusive, and effective.</w:t>
      </w:r>
    </w:p>
    <w:p w14:paraId="7AB0E825" w14:textId="77777777" w:rsidR="003108B2" w:rsidRDefault="003108B2" w:rsidP="003108B2">
      <w:pPr>
        <w:spacing w:after="0" w:line="240" w:lineRule="auto"/>
        <w:ind w:left="717" w:firstLine="363"/>
        <w:rPr>
          <w:rFonts w:ascii="Times New Roman" w:eastAsia="Times New Roman" w:hAnsi="Times New Roman" w:cs="Times New Roman"/>
          <w:sz w:val="20"/>
          <w:szCs w:val="20"/>
        </w:rPr>
      </w:pPr>
    </w:p>
    <w:p w14:paraId="6FC6C2C8" w14:textId="77777777" w:rsidR="00D52DB9" w:rsidRDefault="00000000">
      <w:pPr>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 and Discussion </w:t>
      </w:r>
    </w:p>
    <w:p w14:paraId="372B6FDD" w14:textId="77777777" w:rsidR="00D52DB9" w:rsidRDefault="003108B2" w:rsidP="003108B2">
      <w:pPr>
        <w:pBdr>
          <w:top w:val="nil"/>
          <w:left w:val="nil"/>
          <w:bottom w:val="nil"/>
          <w:right w:val="nil"/>
          <w:between w:val="nil"/>
        </w:pBdr>
        <w:spacing w:line="240" w:lineRule="auto"/>
        <w:ind w:left="717"/>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Urban Planning and Smart Cities</w:t>
      </w:r>
    </w:p>
    <w:p w14:paraId="186F38D8" w14:textId="77777777" w:rsidR="00D52DB9" w:rsidRDefault="003108B2" w:rsidP="005B296B">
      <w:pPr>
        <w:pBdr>
          <w:top w:val="nil"/>
          <w:left w:val="nil"/>
          <w:bottom w:val="nil"/>
          <w:right w:val="nil"/>
          <w:between w:val="nil"/>
        </w:pBdr>
        <w:spacing w:after="0" w:line="240" w:lineRule="auto"/>
        <w:ind w:left="717" w:firstLine="719"/>
        <w:rPr>
          <w:rFonts w:ascii="Times New Roman" w:eastAsia="Times New Roman" w:hAnsi="Times New Roman" w:cs="Times New Roman"/>
          <w:sz w:val="20"/>
          <w:szCs w:val="20"/>
        </w:rPr>
      </w:pPr>
      <w:r w:rsidRPr="003108B2">
        <w:rPr>
          <w:rFonts w:ascii="Times New Roman" w:eastAsia="Times New Roman" w:hAnsi="Times New Roman" w:cs="Times New Roman"/>
          <w:sz w:val="20"/>
          <w:szCs w:val="20"/>
        </w:rPr>
        <w:t>Malaysia is at the forefront of adopting AI-driven smart city initiatives aimed at enhancing urban planning and improving the quality of life for its citizens. A notable example is the Putrajaya Smart City Initiative, which integrates advanced technologies like Artificial Intelligence (AI) to address critical urban challenges. These initiatives leverage AI in several key areas, such as optimizing traffic flow, improving waste management, and enhancing energy efficiency, reflecting a broader push towards sustainable and data-driven urban governance</w:t>
      </w:r>
      <w:r>
        <w:rPr>
          <w:rFonts w:ascii="Times New Roman" w:eastAsia="Times New Roman" w:hAnsi="Times New Roman" w:cs="Times New Roman"/>
          <w:sz w:val="20"/>
          <w:szCs w:val="20"/>
        </w:rPr>
        <w:t>.</w:t>
      </w:r>
      <w:r w:rsidR="001F5109">
        <w:rPr>
          <w:rFonts w:ascii="Times New Roman" w:eastAsia="Times New Roman" w:hAnsi="Times New Roman" w:cs="Times New Roman"/>
          <w:sz w:val="20"/>
          <w:szCs w:val="20"/>
        </w:rPr>
        <w:t xml:space="preserve"> </w:t>
      </w:r>
    </w:p>
    <w:p w14:paraId="7DE47BD9" w14:textId="77777777" w:rsidR="001F5109" w:rsidRPr="001F5109" w:rsidRDefault="001F5109" w:rsidP="005B296B">
      <w:pPr>
        <w:pBdr>
          <w:top w:val="nil"/>
          <w:left w:val="nil"/>
          <w:bottom w:val="nil"/>
          <w:right w:val="nil"/>
          <w:between w:val="nil"/>
        </w:pBdr>
        <w:spacing w:after="0" w:line="240" w:lineRule="auto"/>
        <w:ind w:left="717" w:firstLine="719"/>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AI’s role in traffic management is particularly impactful. Through real-time data analysis and predictive algorithms, AI systems monitor traffic patterns and identify bottlenecks, enabling authorities to make informed decisions to alleviate congestion. This not only reduces travel times but also contributes to lower carbon emissions, aligning with Malaysia’s sustainability goals. Similarly, waste management systems powered by AI use sensors and data analytics to predict waste accumulation and optimize collection routes, resulting in cost savings and cleaner urban environments. AI also enhances energy efficiency by analyzing usage patterns and recommending strategies for reducing consumption, such as adjusting streetlight operations based on activity levels in different areas.</w:t>
      </w:r>
    </w:p>
    <w:p w14:paraId="41703BAD" w14:textId="77777777" w:rsidR="00D52DB9" w:rsidRDefault="001F5109" w:rsidP="005B296B">
      <w:pPr>
        <w:widowControl w:val="0"/>
        <w:spacing w:before="51" w:after="0" w:line="240" w:lineRule="auto"/>
        <w:ind w:left="717" w:right="142" w:firstLine="619"/>
        <w:rPr>
          <w:rFonts w:ascii="Times New Roman" w:eastAsia="Times New Roman" w:hAnsi="Times New Roman" w:cs="Times New Roman"/>
          <w:sz w:val="20"/>
          <w:szCs w:val="20"/>
        </w:rPr>
      </w:pPr>
      <w:r w:rsidRPr="001F5109">
        <w:rPr>
          <w:rFonts w:ascii="Times New Roman" w:eastAsia="Times New Roman" w:hAnsi="Times New Roman" w:cs="Times New Roman"/>
          <w:sz w:val="20"/>
          <w:szCs w:val="20"/>
        </w:rPr>
        <w:t>Predictive analytics plays a significant role in ensuring the smooth functioning of urban infrastructure. By continuously monitoring public assets like roads, bridges, and utilities, AI can predict potential failures or maintenance needs before they become critical. This proactive approach helps authorities allocate resources more effectively, reducing costs and minimizing disruptions to city services.</w:t>
      </w:r>
    </w:p>
    <w:p w14:paraId="09AE41D4" w14:textId="77777777" w:rsidR="001F5109" w:rsidRDefault="001F5109" w:rsidP="005B296B">
      <w:pPr>
        <w:widowControl w:val="0"/>
        <w:spacing w:before="51" w:after="0" w:line="240" w:lineRule="auto"/>
        <w:ind w:left="717" w:right="142" w:firstLine="619"/>
        <w:rPr>
          <w:rFonts w:ascii="Times New Roman" w:eastAsia="Times New Roman" w:hAnsi="Times New Roman" w:cs="Times New Roman"/>
          <w:sz w:val="20"/>
          <w:szCs w:val="20"/>
        </w:rPr>
      </w:pPr>
      <w:r w:rsidRPr="001F5109">
        <w:rPr>
          <w:rFonts w:ascii="Times New Roman" w:eastAsia="Times New Roman" w:hAnsi="Times New Roman" w:cs="Times New Roman"/>
          <w:sz w:val="20"/>
          <w:szCs w:val="20"/>
          <w:lang w:val="en-US"/>
        </w:rPr>
        <w:t>A key component of smart city development is the involvement of citizens in shaping governance decisions. Research such as “Participatory Governance of Smart Cities” highlights the importance of citizen engagement in ensuring that smart city initiatives meet the needs of the population. AI tools play a crucial role here, gathering public feedback through digital platforms</w:t>
      </w:r>
      <w:r>
        <w:rPr>
          <w:rFonts w:ascii="Times New Roman" w:eastAsia="Times New Roman" w:hAnsi="Times New Roman" w:cs="Times New Roman"/>
          <w:sz w:val="20"/>
          <w:szCs w:val="20"/>
          <w:lang w:val="en-US"/>
        </w:rPr>
        <w:t xml:space="preserve"> </w:t>
      </w:r>
      <w:r w:rsidRPr="001F5109">
        <w:rPr>
          <w:rFonts w:ascii="Times New Roman" w:eastAsia="Times New Roman" w:hAnsi="Times New Roman" w:cs="Times New Roman"/>
          <w:sz w:val="20"/>
          <w:szCs w:val="20"/>
        </w:rPr>
        <w:t>and analyzing citizen input to guide policy-making. This participatory approach fosters a sense of inclusion and trust, ensuring that technology serves the interests of the community.</w:t>
      </w:r>
    </w:p>
    <w:p w14:paraId="7D201DA8" w14:textId="77777777" w:rsidR="001F5109" w:rsidRDefault="001F5109" w:rsidP="005B296B">
      <w:pPr>
        <w:widowControl w:val="0"/>
        <w:spacing w:before="51" w:after="0" w:line="240" w:lineRule="auto"/>
        <w:ind w:left="717" w:right="142" w:firstLine="619"/>
        <w:rPr>
          <w:rFonts w:ascii="Times New Roman" w:eastAsia="Times New Roman" w:hAnsi="Times New Roman" w:cs="Times New Roman"/>
          <w:sz w:val="20"/>
          <w:szCs w:val="20"/>
        </w:rPr>
      </w:pPr>
      <w:r w:rsidRPr="001F5109">
        <w:rPr>
          <w:rFonts w:ascii="Times New Roman" w:eastAsia="Times New Roman" w:hAnsi="Times New Roman" w:cs="Times New Roman"/>
          <w:sz w:val="20"/>
          <w:szCs w:val="20"/>
        </w:rPr>
        <w:t>The success of AI-driven smart city projects like Putrajaya underscores the potential for technology to transform urban governance. However, achieving these outcomes requires addressing challenges such as data privacy, equitable access to technology, and public skepticism. By prioritizing transparency, inclusivity, and ethical practices, Malaysia’s smart city initiatives can serve as a model for integrating AI into urban planning while fostering sustainable and citizen-centric development.</w:t>
      </w:r>
    </w:p>
    <w:p w14:paraId="541EA659" w14:textId="77777777" w:rsidR="001F5109" w:rsidRDefault="001F5109" w:rsidP="005B296B">
      <w:pPr>
        <w:widowControl w:val="0"/>
        <w:spacing w:before="51" w:after="0"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E-Governance and Public Services</w:t>
      </w:r>
    </w:p>
    <w:p w14:paraId="36E088F6"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Artificial Intelligence (AI) has played a transformative role in streamlining e-governance and enhancing the delivery of public services in Malaysia. By automating routine administrative processes, AI has significantly improved efficiency, accessibility, and citizen satisfaction within the public sector. These advancements align with Malaysia’s broader vision of becoming a digitally empowered economy as outlined in its Digital Economy Blueprint.</w:t>
      </w:r>
    </w:p>
    <w:p w14:paraId="5EF31D08"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One of the key applications of AI in e-governance is the automation of essential public services such as tax filing and welfare distribution. AI-driven systems have replaced traditional, paper-based methods with streamlined digital solutions, reducing processing times and minimizing human error. For instance, automated tax filing systems use machine learning algorithms to process vast amounts of financial data, ensuring accurate and timely filings. Similarly, welfare distribution systems leverage AI to analyze eligibility criteria and allocate resources effectively, reducing the risk of fraud and ensuring that assistance reaches those in need.</w:t>
      </w:r>
    </w:p>
    <w:p w14:paraId="2FADA9AD" w14:textId="77777777" w:rsidR="001F5109" w:rsidRPr="001F5109" w:rsidRDefault="001F5109" w:rsidP="005B296B">
      <w:pPr>
        <w:spacing w:before="51" w:after="0" w:line="240" w:lineRule="auto"/>
        <w:ind w:left="720" w:right="142" w:firstLine="698"/>
        <w:rPr>
          <w:rFonts w:ascii="Times New Roman" w:eastAsia="Times New Roman" w:hAnsi="Times New Roman" w:cs="Times New Roman"/>
          <w:sz w:val="20"/>
          <w:szCs w:val="20"/>
        </w:rPr>
      </w:pPr>
      <w:r w:rsidRPr="001F5109">
        <w:rPr>
          <w:rFonts w:ascii="Times New Roman" w:eastAsia="Times New Roman" w:hAnsi="Times New Roman" w:cs="Times New Roman"/>
          <w:sz w:val="20"/>
          <w:szCs w:val="20"/>
          <w:lang w:val="en-US"/>
        </w:rPr>
        <w:t>During the COVID-19 pandemic, AI proved to be an invaluable tool in managing public health challenges. Malaysia utilized predictive analytics to allocate healthcare resources efficiently, including hospital beds, ventilators, and testing kits. AI models analyzed infection rates, population density, and healthcare capacity to forecast demand and optimize resource distribution. Digital health initiatives also relied on AI-powered contact tracing systems and health monitoring applications, enabling authorities to respond swiftly to emerging hotspots and</w:t>
      </w:r>
      <w:r>
        <w:rPr>
          <w:rFonts w:ascii="Times New Roman" w:eastAsia="Times New Roman" w:hAnsi="Times New Roman" w:cs="Times New Roman"/>
          <w:sz w:val="20"/>
          <w:szCs w:val="20"/>
          <w:lang w:val="en-US"/>
        </w:rPr>
        <w:t xml:space="preserve"> </w:t>
      </w:r>
      <w:r w:rsidRPr="001F5109">
        <w:rPr>
          <w:rFonts w:ascii="Times New Roman" w:eastAsia="Times New Roman" w:hAnsi="Times New Roman" w:cs="Times New Roman"/>
          <w:sz w:val="20"/>
          <w:szCs w:val="20"/>
        </w:rPr>
        <w:t>mitigate the spread of the virus. These efforts demonstrated the potential of AI to enhance resilience in times of crisis while ensuring public safety.</w:t>
      </w:r>
    </w:p>
    <w:p w14:paraId="34532FA9" w14:textId="77777777" w:rsidR="001F5109" w:rsidRP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Research such as “ELV Policy and Management System in Malaysia” highlights the role of AI in digitizing public services to improve accessibility. Digitization has made government services more inclusive by providing citizens with easy access to applications and support through online platforms. Rural communities, who previously faced challenges in accessing physical government offices, have particularly benefited from this shift. For example, online portals powered by AI allow users to apply for permits, report issues, or access welfare benefits without the need for in-person visits.</w:t>
      </w:r>
    </w:p>
    <w:p w14:paraId="765829C1"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However, while AI has streamlined e-governance, challenges remain. Issues such as data security, public trust, and equitable access to digital services need to be addressed to ensure that no group is excluded from the benefits of technological advancements. Transparent and ethical practices, combined with efforts to bridge the digital divide, are essential to realizing the full potential of AI in e-governance.</w:t>
      </w:r>
    </w:p>
    <w:p w14:paraId="2F46B645" w14:textId="77777777" w:rsidR="001F5109" w:rsidRDefault="001F5109" w:rsidP="005B296B">
      <w:pPr>
        <w:widowControl w:val="0"/>
        <w:spacing w:before="51" w:line="240" w:lineRule="auto"/>
        <w:ind w:left="720" w:right="142" w:firstLine="698"/>
        <w:rPr>
          <w:rFonts w:ascii="Times New Roman" w:eastAsia="Times New Roman" w:hAnsi="Times New Roman" w:cs="Times New Roman"/>
          <w:sz w:val="20"/>
          <w:szCs w:val="20"/>
        </w:rPr>
      </w:pPr>
      <w:r w:rsidRPr="001F5109">
        <w:rPr>
          <w:rFonts w:ascii="Times New Roman" w:eastAsia="Times New Roman" w:hAnsi="Times New Roman" w:cs="Times New Roman"/>
          <w:sz w:val="20"/>
          <w:szCs w:val="20"/>
        </w:rPr>
        <w:t>Malaysia’s integration of AI into public services showcases how technology can modernize governance, improve efficiency, and foster inclusivity. By continuing to innovate and address existing challenges, Malaysia can establish itself as a model for AI-driven e-governance, setting a benchmark for other countries to follow.</w:t>
      </w:r>
    </w:p>
    <w:p w14:paraId="46CB30EF" w14:textId="77777777" w:rsidR="001F5109" w:rsidRDefault="001F5109"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Challenges in AI Implementation</w:t>
      </w:r>
    </w:p>
    <w:p w14:paraId="7C211FAE" w14:textId="77777777" w:rsidR="001F5109" w:rsidRDefault="001F5109"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Ethical Concerns</w:t>
      </w:r>
    </w:p>
    <w:p w14:paraId="1DC954C4"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The integration of Artificial Intelligence (AI) in governance and public services in Malaysia raises significant ethical concerns that need to be carefully addressed to ensure fairness, transparency, and inclusivity. These challenges revolve around ensuring that AI algorithms are free from bias, safeguarding data privacy, and maintaining public trust in AI-driven systems.</w:t>
      </w:r>
    </w:p>
    <w:p w14:paraId="4FC5B519"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 xml:space="preserve">One of the primary ethical issues is transparency in how AI </w:t>
      </w:r>
      <w:proofErr w:type="gramStart"/>
      <w:r w:rsidRPr="001F5109">
        <w:rPr>
          <w:rFonts w:ascii="Times New Roman" w:eastAsia="Times New Roman" w:hAnsi="Times New Roman" w:cs="Times New Roman"/>
          <w:sz w:val="20"/>
          <w:szCs w:val="20"/>
          <w:lang w:val="en-US"/>
        </w:rPr>
        <w:t>algorithms</w:t>
      </w:r>
      <w:proofErr w:type="gramEnd"/>
      <w:r w:rsidRPr="001F5109">
        <w:rPr>
          <w:rFonts w:ascii="Times New Roman" w:eastAsia="Times New Roman" w:hAnsi="Times New Roman" w:cs="Times New Roman"/>
          <w:sz w:val="20"/>
          <w:szCs w:val="20"/>
          <w:lang w:val="en-US"/>
        </w:rPr>
        <w:t xml:space="preserve"> function and make decisions. Many AI systems operate as “black boxes,” meaning their decision-making processes are not easily understood, even by experts. This lack of transparency can lead to skepticism and mistrust among the public, particularly when AI is used to determine eligibility for essential services like welfare or healthcare. Ensuring algorithmic transparency is crucial to building trust, allowing citizens to understand and challenge decisions when necessary.</w:t>
      </w:r>
    </w:p>
    <w:p w14:paraId="6EC16E60"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Bias in AI algorithms is another pressing ethical concern. Since AI systems rely on data for training, they are inherently influenced by the quality and representativeness of that data. If the data used to train an algorithm reflects existing societal biases, these biases can be perpetuated and even amplified. For example, an AI system designed to allocate welfare resources might prioritize urban populations if rural communities are underrepresented in the data, further marginalizing already underserved groups. Addressing this issue requires rigorous auditing of algorithms to identify and mitigate biases, as well as ensuring that datasets are diverse and representative of Malaysia’s multi-ethnic and socio-economic population.</w:t>
      </w:r>
    </w:p>
    <w:p w14:paraId="0DB4411B" w14:textId="77777777" w:rsidR="001F5109" w:rsidRDefault="001F5109"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1F5109">
        <w:rPr>
          <w:rFonts w:ascii="Times New Roman" w:eastAsia="Times New Roman" w:hAnsi="Times New Roman" w:cs="Times New Roman"/>
          <w:sz w:val="20"/>
          <w:szCs w:val="20"/>
          <w:lang w:val="en-US"/>
        </w:rPr>
        <w:t>Data privacy is a particularly sensitive issue, given the large volumes of personal information that AI systems process. Many Malaysians express concern about the potential misuse of their data, especially in light of global controversies involving data breaches and unethical data collection practices. Safeguarding personal information requires robust data protection frameworks and strict compliance with privacy laws. Malaysia’s Personal Data Protection Act (PDPA) provides a foundation for this, but additional measures, such as encrypting sensitive data and limiting access to authorized personnel, are essential to prevent breaches and misuse.</w:t>
      </w:r>
    </w:p>
    <w:p w14:paraId="57324F65"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Public skepticism about AI is also fueled by fears of unequal access to AI-driven services. In a diverse nation like Malaysia, it is vital to ensure that all communities, including rural and economically disadvantaged groups, can benefit from AI advancements. Failure to address this concern could widen the digital divide and exacerbate existing inequalities. Efforts to promote digital literacy and expand access to technology are critical to ensuring that AI-driven services are inclusive.</w:t>
      </w:r>
    </w:p>
    <w:p w14:paraId="401CC470"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Literature such as “Transforming Governance: A Systematic Review of AI Applications in Policymaking” underscores the importance of addressing these ethical challenges to create trustworthy AI systems. Ethical AI frameworks, transparency measures, and public engagement are pivotal to fostering confidence in AI technologies and ensuring they align with societal values.</w:t>
      </w:r>
    </w:p>
    <w:p w14:paraId="2AA8C1FF"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By prioritizing ethical considerations, Malaysia can leverage AI to transform governance while maintaining public trust and promoting equitable outcomes. Addressing these concerns is not just a technological necessity but also a moral imperative, ensuring that AI serves as a tool for progress rather than perpetuating disparities.</w:t>
      </w:r>
    </w:p>
    <w:p w14:paraId="27272E27" w14:textId="77777777" w:rsidR="00AF7A5A" w:rsidRDefault="00AF7A5A" w:rsidP="005B296B">
      <w:pPr>
        <w:widowControl w:val="0"/>
        <w:spacing w:before="51" w:after="0"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Resource Constraints</w:t>
      </w:r>
    </w:p>
    <w:p w14:paraId="252251D5"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The successful adoption of Artificial Intelligence (AI) technologies in governance requires substantial financial and technical resources, posing significant challenges, especially for less developed regions in Malaysia. These constraints highlight the digital divide between urban and rural areas, as well as between socio-economic groups, limiting equitable access to the benefits of AI-driven governance.</w:t>
      </w:r>
    </w:p>
    <w:p w14:paraId="30AA0CAE" w14:textId="77777777" w:rsidR="00AF7A5A" w:rsidRPr="00AF7A5A" w:rsidRDefault="00AF7A5A" w:rsidP="005B296B">
      <w:pPr>
        <w:spacing w:before="51" w:after="0" w:line="240" w:lineRule="auto"/>
        <w:ind w:left="720" w:right="142" w:firstLine="698"/>
        <w:rPr>
          <w:rFonts w:ascii="Times New Roman" w:eastAsia="Times New Roman" w:hAnsi="Times New Roman" w:cs="Times New Roman"/>
          <w:sz w:val="20"/>
          <w:szCs w:val="20"/>
        </w:rPr>
      </w:pPr>
      <w:r w:rsidRPr="00AF7A5A">
        <w:rPr>
          <w:rFonts w:ascii="Times New Roman" w:eastAsia="Times New Roman" w:hAnsi="Times New Roman" w:cs="Times New Roman"/>
          <w:sz w:val="20"/>
          <w:szCs w:val="20"/>
          <w:lang w:val="en-US"/>
        </w:rPr>
        <w:t>Financial limitations are one of the most significant barriers to widespread AI adoption. Implementing AI technologies involves considerable costs, including investments in infrastructure, skilled workforce development, and system maintenance. For example, deploying AI for public services like traffic management or welfare distribution requires advanced hardware, reliable internet connectivity, and ongoing software updates—all of which demand continuous financial input. These costs are often prohibitive for local governments in</w:t>
      </w:r>
      <w:r>
        <w:rPr>
          <w:rFonts w:ascii="Times New Roman" w:eastAsia="Times New Roman" w:hAnsi="Times New Roman" w:cs="Times New Roman"/>
          <w:sz w:val="20"/>
          <w:szCs w:val="20"/>
          <w:lang w:val="en-US"/>
        </w:rPr>
        <w:t xml:space="preserve"> </w:t>
      </w:r>
      <w:r w:rsidRPr="00AF7A5A">
        <w:rPr>
          <w:rFonts w:ascii="Times New Roman" w:eastAsia="Times New Roman" w:hAnsi="Times New Roman" w:cs="Times New Roman"/>
          <w:sz w:val="20"/>
          <w:szCs w:val="20"/>
        </w:rPr>
        <w:t>underfunded or rural areas, leaving such regions underserved and widening the gap between urban centers and less developed communities.</w:t>
      </w:r>
    </w:p>
    <w:p w14:paraId="06B540D0"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Technical expertise is another key resource constraint. AI systems are complex and require a skilled workforce to design, implement, and maintain them. However, the availability of such expertise is often concentrated in major cities or institutions, leaving rural areas and smaller administrative units without access to the knowledge and skills needed to deploy AI effectively. This skills gap hampers the ability of these regions to implement and sustain AI-driven initiatives, further exacerbating existing disparities in service delivery.</w:t>
      </w:r>
    </w:p>
    <w:p w14:paraId="7284179E"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Infrastructure limitations also play a critical role in creating a digital divide. Advanced AI systems depend on high-speed internet, reliable electricity, and robust digital infrastructure, which are more readily available in urban areas. Rural regions, on the other hand, often lack these basic necessities, making it difficult to implement even foundational digital services, let alone advanced AI technologies. This disparity means that citizens in less developed areas may be unable to access AI-enhanced services, deepening inequalities in governance and public service delivery.</w:t>
      </w:r>
    </w:p>
    <w:p w14:paraId="508B011B"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The study “AI in E-Government: Identifying and Addressing Key Challenges” underscores the importance of addressing these resource constraints to ensure inclusive governance. It highlights the need for equitable resource distribution, such as allocating funding and infrastructure development to underserved areas. One potential solution is the establishment of public-private partnerships to share the financial burden of AI adoption. By collaborating with private companies and academic institutions, the government can leverage external expertise and resources to bridge gaps in funding and technical knowledge.</w:t>
      </w:r>
    </w:p>
    <w:p w14:paraId="7FB65A9F"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Additionally, capacity-building initiatives are essential to address the skills gap. These efforts could include training programs for public officials and local administrators, equipping them with the knowledge needed to manage AI systems effectively. Expanding digital literacy programs to rural areas would also empower communities to use and benefit from AI-enhanced services.</w:t>
      </w:r>
      <w:r>
        <w:rPr>
          <w:rFonts w:ascii="Times New Roman" w:eastAsia="Times New Roman" w:hAnsi="Times New Roman" w:cs="Times New Roman"/>
          <w:sz w:val="20"/>
          <w:szCs w:val="20"/>
          <w:lang w:val="en-US"/>
        </w:rPr>
        <w:t xml:space="preserve"> </w:t>
      </w:r>
    </w:p>
    <w:p w14:paraId="11BF8298" w14:textId="77777777" w:rsidR="00AF7A5A" w:rsidRDefault="00AF7A5A" w:rsidP="005B296B">
      <w:pPr>
        <w:widowControl w:val="0"/>
        <w:spacing w:before="51" w:line="240" w:lineRule="auto"/>
        <w:ind w:left="720" w:right="142" w:firstLine="698"/>
        <w:rPr>
          <w:rFonts w:ascii="Times New Roman" w:eastAsia="Times New Roman" w:hAnsi="Times New Roman" w:cs="Times New Roman"/>
          <w:sz w:val="20"/>
          <w:szCs w:val="20"/>
        </w:rPr>
      </w:pPr>
      <w:r w:rsidRPr="00AF7A5A">
        <w:rPr>
          <w:rFonts w:ascii="Times New Roman" w:eastAsia="Times New Roman" w:hAnsi="Times New Roman" w:cs="Times New Roman"/>
          <w:sz w:val="20"/>
          <w:szCs w:val="20"/>
        </w:rPr>
        <w:t>Addressing resource constraints is critical for ensuring that the adoption of AI technologies in Malaysia does not deepen existing inequalities. By prioritizing equitable resource allocation, fostering collaboration, and building local capacity, Malaysia can overcome these challenges and create a governance framework that benefits all citizens, regardless of their location or socio-economic status. This approach not only promotes inclusivity but also strengthens the nation’s ability to harness AI’s transformative potential in governance.</w:t>
      </w:r>
    </w:p>
    <w:p w14:paraId="7B01CC5E" w14:textId="77777777" w:rsidR="00AF7A5A" w:rsidRDefault="00AF7A5A"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Policy Gaps and Public Perception</w:t>
      </w:r>
    </w:p>
    <w:p w14:paraId="0F0A3979"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One of the significant challenges in adopting Artificial Intelligence (AI) in governance in Malaysia lies in the gaps within its regulatory and policy frameworks. While the country has taken notable steps to integrate AI into governance, such as through initiatives outlined in the Digital Economy Blueprint, the lack of comprehensive and specific policies governing AI presents a critical obstacle. This gap is further compounded by public skepticism, as many Malaysians remain wary of AI technologies, questioning their benefits and expressing concerns about their risks.</w:t>
      </w:r>
    </w:p>
    <w:p w14:paraId="164B8C3C"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b/>
          <w:sz w:val="20"/>
          <w:szCs w:val="20"/>
          <w:lang w:val="en-US"/>
        </w:rPr>
        <w:t xml:space="preserve">Policy gaps </w:t>
      </w:r>
      <w:r w:rsidRPr="00AF7A5A">
        <w:rPr>
          <w:rFonts w:ascii="Times New Roman" w:eastAsia="Times New Roman" w:hAnsi="Times New Roman" w:cs="Times New Roman"/>
          <w:sz w:val="20"/>
          <w:szCs w:val="20"/>
          <w:lang w:val="en-US"/>
        </w:rPr>
        <w:t>in AI governance primarily revolve around the absence of a unified regulatory framework that addresses ethical considerations, data privacy, and accountability. Although Malaysia has implemented regulations like the Personal Data Protection Act (PDPA) to safeguard personal information, these policies often fail to address the unique challenges posed by AI, such as algorithmic transparency, bias, and decision accountability. Without clear guidelines, public sector entities may struggle to implement AI responsibly, risking unintended consequences such as discrimination or privacy breaches. Moreover, the lack of standardized policies can lead to inconsistent implementation of AI technologies across different regions and sectors, creating disparities in governance outcomes.</w:t>
      </w:r>
    </w:p>
    <w:p w14:paraId="6B4F92E4"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The fragmented regulatory environment also hinders private sector involvement in AI-driven projects. Without clear legal protections and guidelines, companies may be reluctant to invest in AI solutions for governance, fearing reputational or legal repercussions. This slows the pace of innovation and limits the potential for public-private partnerships, which are crucial for addressing resource and expertise gaps in AI adoption.</w:t>
      </w:r>
    </w:p>
    <w:p w14:paraId="66C31E66"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b/>
          <w:sz w:val="20"/>
          <w:szCs w:val="20"/>
          <w:lang w:val="en-US"/>
        </w:rPr>
        <w:t xml:space="preserve">Public perception </w:t>
      </w:r>
      <w:r w:rsidRPr="00AF7A5A">
        <w:rPr>
          <w:rFonts w:ascii="Times New Roman" w:eastAsia="Times New Roman" w:hAnsi="Times New Roman" w:cs="Times New Roman"/>
          <w:sz w:val="20"/>
          <w:szCs w:val="20"/>
          <w:lang w:val="en-US"/>
        </w:rPr>
        <w:t xml:space="preserve">further complicates the issue. Many Malaysians remain skeptical of AI systems due to concerns about data security, job displacement, and the potential for biased or unfair outcomes. This skepticism is often rooted in a lack of understanding of how AI </w:t>
      </w:r>
      <w:proofErr w:type="gramStart"/>
      <w:r w:rsidRPr="00AF7A5A">
        <w:rPr>
          <w:rFonts w:ascii="Times New Roman" w:eastAsia="Times New Roman" w:hAnsi="Times New Roman" w:cs="Times New Roman"/>
          <w:sz w:val="20"/>
          <w:szCs w:val="20"/>
          <w:lang w:val="en-US"/>
        </w:rPr>
        <w:t>technologies</w:t>
      </w:r>
      <w:proofErr w:type="gramEnd"/>
      <w:r w:rsidRPr="00AF7A5A">
        <w:rPr>
          <w:rFonts w:ascii="Times New Roman" w:eastAsia="Times New Roman" w:hAnsi="Times New Roman" w:cs="Times New Roman"/>
          <w:sz w:val="20"/>
          <w:szCs w:val="20"/>
          <w:lang w:val="en-US"/>
        </w:rPr>
        <w:t xml:space="preserve"> function and their potential benefits. For instance, AI systems used in welfare distribution may be viewed as impersonal or prone to error, leading to mistrust among those who rely on these services. Additionally, fears of data misuse, fueled by global incidents of data breaches and surveillance concerns, contribute to a general wariness about AI.</w:t>
      </w:r>
    </w:p>
    <w:p w14:paraId="66722CB5"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Studies such as “Understanding and Acceptance of Smart City Policies in Malaysia” emphasize the importance of communication strategies in addressing public skepticism. Building trust in AI systems requires transparent communication about how these technologies work, the safeguards in place to protect citizens, and the tangible benefits they bring. For example, public awareness campaigns that showcase successful AI implementations, such as improved traffic management in Putrajaya’s Smart City Initiative, can help demonstrate the positive impact of AI on daily life.</w:t>
      </w:r>
    </w:p>
    <w:p w14:paraId="452A0D0C"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Engaging the public through participatory governance models is another effective strategy. By involving citizens in decision-making processes related to AI adoption, such as consultations or feedback sessions, policymakers can ensure that AI technologies align with public values and address community concerns. This approach not only builds trust but also fosters a sense of ownership among citizens, making them more likely to support and use AI-enhanced services.</w:t>
      </w:r>
    </w:p>
    <w:p w14:paraId="79435169" w14:textId="77777777" w:rsidR="00AF7A5A" w:rsidRDefault="00AF7A5A" w:rsidP="005B296B">
      <w:pPr>
        <w:widowControl w:val="0"/>
        <w:spacing w:before="51"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Closing the policy gaps and addressing public perception issues are essential steps in ensuring the responsible and effective adoption of AI in Malaysian governance. Developing comprehensive regulatory frameworks, fostering transparency, and engaging the public through education and participation are critical to building trust in AI systems. By prioritizing these efforts, Malaysia can create a governance model that leverages AI’s transformative potential while safeguarding the rights and interests of its citizens.</w:t>
      </w:r>
    </w:p>
    <w:p w14:paraId="269710FF" w14:textId="77777777" w:rsidR="00AF7A5A" w:rsidRDefault="00AF7A5A"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Recommendations and Policy Implications </w:t>
      </w:r>
    </w:p>
    <w:p w14:paraId="0C73D730" w14:textId="77777777" w:rsidR="00AF7A5A" w:rsidRDefault="00AF7A5A"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Capacity Building</w:t>
      </w:r>
    </w:p>
    <w:p w14:paraId="53130A07"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A critical prerequisite for the effective implementation of AI technologies is the development of a skilled workforce. Currently, the limited availability of AI expertise presents a significant barrier, especially in regions where digital literacy remains low. To address this, the government should prioritize the establishment of training programs aimed at upskilling both public officials and AI professionals.</w:t>
      </w:r>
    </w:p>
    <w:p w14:paraId="1C749439"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Public officials need to be equipped with the knowledge and tools to manage AI systems effectively, interpret data-driven insights, and oversee ethical implementation. Simultaneously, expanding technical training for professionals in AI development, programming, and data analytics will help bridge the skills gap and support the growth of local expertise. Partnerships with universities and technical institutes can help design specialized curricula that address these needs. For example, short-term certification courses, combined with hands-on experience, can prepare both entry-level and advanced practitioners to meet the demands of AI deployment in governance.</w:t>
      </w:r>
    </w:p>
    <w:p w14:paraId="3F6714D7" w14:textId="77777777" w:rsidR="00AF7A5A" w:rsidRDefault="00AF7A5A" w:rsidP="005B296B">
      <w:pPr>
        <w:widowControl w:val="0"/>
        <w:spacing w:before="51"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Furthermore, outreach programs focused on enhancing digital literacy among the general public are essential. Such programs will empower citizens to engage with AI-enhanced services confidently and effectively, fostering greater trust in these technologies.</w:t>
      </w:r>
    </w:p>
    <w:p w14:paraId="7097568B" w14:textId="77777777" w:rsidR="00AF7A5A" w:rsidRDefault="00AF7A5A"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Collaboration</w:t>
      </w:r>
    </w:p>
    <w:p w14:paraId="78DFF58C"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rPr>
      </w:pPr>
      <w:r w:rsidRPr="00AF7A5A">
        <w:rPr>
          <w:rFonts w:ascii="Times New Roman" w:eastAsia="Times New Roman" w:hAnsi="Times New Roman" w:cs="Times New Roman"/>
          <w:sz w:val="20"/>
          <w:szCs w:val="20"/>
        </w:rPr>
        <w:t>Collaboration is key to overcoming resource limitations and ensuring the successful rollout of AI projects. Public-private partnerships (PPPs) offer an effective mechanism for pooling financial and technical resources. By collaborating with private tech companies, the government can leverage cutting-edge innovations and expertise to implement AI solutions at scale. For instance, partnerships can facilitate the development of smart city infrastructure, such as AI-powered traffic management systems, with private firms contributing technology and operational know-how.</w:t>
      </w:r>
    </w:p>
    <w:p w14:paraId="42DC0128"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In addition to PPPs, collaboration with academic institutions and international organizations is essential for fostering knowledge-sharing. Universities can play a crucial role in conducting research on AI applications tailored to Malaysia’s governance needs, while international partnerships can provide access to global best practices and funding opportunities. Initiatives such as hosting AI-focused conferences, workshops, and hackathons can further encourage dialogue and idea exchange between stakeholders.</w:t>
      </w:r>
    </w:p>
    <w:p w14:paraId="0D253AC5" w14:textId="77777777" w:rsidR="00D52DB9" w:rsidRDefault="00AF7A5A" w:rsidP="005B296B">
      <w:pPr>
        <w:widowControl w:val="0"/>
        <w:spacing w:before="51"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A practical example of successful collaboration is Malaysia’s engagement with global AI organizations to align its strategies with international ethical standards and technological advancements. By fostering such partnerships, Malaysia can accelerate the adoption of AI while mitigating potential risks.</w:t>
      </w:r>
    </w:p>
    <w:p w14:paraId="684C45DF" w14:textId="77777777" w:rsidR="00AF7A5A" w:rsidRDefault="00AF7A5A" w:rsidP="005B296B">
      <w:pPr>
        <w:widowControl w:val="0"/>
        <w:spacing w:before="51" w:line="240" w:lineRule="auto"/>
        <w:ind w:left="709" w:right="142"/>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Ethical Frameworks</w:t>
      </w:r>
    </w:p>
    <w:p w14:paraId="51215F97"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The development of comprehensive ethical guidelines is a cornerstone for addressing public concerns and ensuring the responsible implementation of Artificial Intelligence (AI) in governance. As AI becomes increasingly embedded in decision-making and public service delivery in Malaysia, ethical frameworks must be established to guarantee transparency, fairness, accountability, and inclusivity. These guidelines are essential for aligning AI technologies with Malaysia’s socio-political and cultural values, fostering trust, and mitigating potential risks.</w:t>
      </w:r>
    </w:p>
    <w:p w14:paraId="085D0D0F" w14:textId="77777777" w:rsid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At the heart of an effective ethical framework is transparency. AI systems must be designed to provide clear and understandable explanations of how decisions are made. This means documenting the processes and algorithms that underpin AI operations, making them accessible not only to experts but also to the general public. Transparent systems ensure that users can trust AI-driven services and hold them accountable when discrepancies arise. For instance, if an AI system denies a welfare application, it should be able to provide an explainable rationale for the decision, allowing users to appeal or seek clarification.</w:t>
      </w:r>
    </w:p>
    <w:p w14:paraId="74CAACD2" w14:textId="77777777" w:rsidR="00AF7A5A" w:rsidRPr="00AF7A5A" w:rsidRDefault="00AF7A5A" w:rsidP="005B296B">
      <w:pPr>
        <w:spacing w:before="51" w:after="0" w:line="240" w:lineRule="auto"/>
        <w:ind w:left="720" w:right="142" w:firstLine="698"/>
        <w:rPr>
          <w:rFonts w:ascii="Times New Roman" w:eastAsia="Times New Roman" w:hAnsi="Times New Roman" w:cs="Times New Roman"/>
          <w:sz w:val="20"/>
          <w:szCs w:val="20"/>
        </w:rPr>
      </w:pPr>
      <w:r w:rsidRPr="00AF7A5A">
        <w:rPr>
          <w:rFonts w:ascii="Times New Roman" w:eastAsia="Times New Roman" w:hAnsi="Times New Roman" w:cs="Times New Roman"/>
          <w:sz w:val="20"/>
          <w:szCs w:val="20"/>
          <w:lang w:val="en-US"/>
        </w:rPr>
        <w:t>Equally important is accountability. Policymakers, developers, and administrators must take responsibility for the outcomes of AI systems. This involves creating mechanisms to monitor and evaluate AI deployments, ensuring compliance with ethical standards. Oversight bodies or independent task forces could be established to review the design and performance of</w:t>
      </w:r>
      <w:r>
        <w:rPr>
          <w:rFonts w:ascii="Times New Roman" w:eastAsia="Times New Roman" w:hAnsi="Times New Roman" w:cs="Times New Roman"/>
          <w:sz w:val="20"/>
          <w:szCs w:val="20"/>
          <w:lang w:val="en-US"/>
        </w:rPr>
        <w:t xml:space="preserve"> </w:t>
      </w:r>
      <w:r w:rsidRPr="00AF7A5A">
        <w:rPr>
          <w:rFonts w:ascii="Times New Roman" w:eastAsia="Times New Roman" w:hAnsi="Times New Roman" w:cs="Times New Roman"/>
          <w:sz w:val="20"/>
          <w:szCs w:val="20"/>
        </w:rPr>
        <w:t>AI systems, addressing any unintended consequences or errors. Such bodies would also ensure that policymakers and developers are held accountable for biases or inaccuracies in AI systems, preventing the erosion of public trust.</w:t>
      </w:r>
    </w:p>
    <w:p w14:paraId="1E54F338"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Inclusivity is another critical element of an ethical framework. AI systems must be designed to promote equitable access to technologies, particularly for marginalized and underserved communities. In a diverse nation like Malaysia, this includes ensuring that AI applications are accessible to all ethnic, linguistic, and socio-economic groups. For example, AI-driven public services must be designed to accommodate multiple languages and account for regional disparities in infrastructure. Preventing bias in AI systems is equally crucial, as biased algorithms can inadvertently disadvantage specific groups, exacerbating existing inequalities.</w:t>
      </w:r>
    </w:p>
    <w:p w14:paraId="3C0379CB"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Data privacy and security form the foundation of public trust in AI systems. In an era of increasing data collection and usage, robust protections for personal information are essential. Ethical guidelines should mandate clear consent protocols, ensuring that users are fully informed about how their data is collected, stored, and used. Additionally, strict penalties for data breaches or misuse must be enforced to deter unethical practices. Implementing advanced encryption methods and access controls can further safeguard sensitive information and reassure the public about the safety of their data.</w:t>
      </w:r>
    </w:p>
    <w:p w14:paraId="6C644167"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Ethical frameworks must also remain dynamic, adapting to technological advancements and emerging challenges. AI is an evolving field, and static regulations may quickly become outdated. By incorporating mechanisms for periodic review and updates, ethical guidelines can remain relevant and effective over time. This flexibility is especially important as new applications of AI emerge, each with unique ethical considerations that may not have been previously anticipated.</w:t>
      </w:r>
    </w:p>
    <w:p w14:paraId="5D2DF265" w14:textId="77777777" w:rsidR="00AF7A5A" w:rsidRPr="00AF7A5A" w:rsidRDefault="00AF7A5A" w:rsidP="005B296B">
      <w:pPr>
        <w:widowControl w:val="0"/>
        <w:spacing w:before="51" w:after="0" w:line="240" w:lineRule="auto"/>
        <w:ind w:left="720" w:right="142" w:firstLine="698"/>
        <w:rPr>
          <w:rFonts w:ascii="Times New Roman" w:eastAsia="Times New Roman" w:hAnsi="Times New Roman" w:cs="Times New Roman"/>
          <w:sz w:val="20"/>
          <w:szCs w:val="20"/>
          <w:lang w:val="en-US"/>
        </w:rPr>
      </w:pPr>
      <w:r w:rsidRPr="00AF7A5A">
        <w:rPr>
          <w:rFonts w:ascii="Times New Roman" w:eastAsia="Times New Roman" w:hAnsi="Times New Roman" w:cs="Times New Roman"/>
          <w:sz w:val="20"/>
          <w:szCs w:val="20"/>
          <w:lang w:val="en-US"/>
        </w:rPr>
        <w:t>Engaging the public and key stakeholders in the development of ethical guidelines is essential for ensuring that they address societal concerns comprehensively. Public consultations, workshops, and forums can provide valuable insights into the values and expectations of citizens, fostering a sense of ownership and trust in AI systems. Involving diverse stakeholders including government bodies, industry experts, academia, and civil society can also help create a more robust and balanced framework, incorporating perspectives from multiple sectors.</w:t>
      </w:r>
    </w:p>
    <w:p w14:paraId="46B8EEC6" w14:textId="77777777" w:rsidR="00AF7A5A" w:rsidRPr="00AF7A5A" w:rsidRDefault="00AF7A5A" w:rsidP="00AF7A5A">
      <w:pPr>
        <w:widowControl w:val="0"/>
        <w:spacing w:before="51" w:after="0" w:line="240" w:lineRule="auto"/>
        <w:ind w:left="709" w:right="142"/>
        <w:rPr>
          <w:rFonts w:ascii="Times New Roman" w:eastAsia="Times New Roman" w:hAnsi="Times New Roman" w:cs="Times New Roman"/>
          <w:sz w:val="20"/>
          <w:szCs w:val="20"/>
          <w:lang w:val="en-US"/>
        </w:rPr>
      </w:pPr>
    </w:p>
    <w:p w14:paraId="3FACF2DA" w14:textId="77777777" w:rsidR="00D52DB9" w:rsidRDefault="00000000">
      <w:pPr>
        <w:numPr>
          <w:ilvl w:val="0"/>
          <w:numId w:val="1"/>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Conclusions</w:t>
      </w:r>
    </w:p>
    <w:p w14:paraId="68ED75A0" w14:textId="77777777" w:rsidR="005B296B" w:rsidRDefault="005B296B">
      <w:pPr>
        <w:spacing w:after="0" w:line="240" w:lineRule="auto"/>
        <w:ind w:left="720" w:firstLine="720"/>
        <w:rPr>
          <w:rFonts w:ascii="Times New Roman" w:eastAsia="Times New Roman" w:hAnsi="Times New Roman" w:cs="Times New Roman"/>
          <w:sz w:val="20"/>
          <w:szCs w:val="20"/>
        </w:rPr>
      </w:pPr>
      <w:r w:rsidRPr="005B296B">
        <w:rPr>
          <w:rFonts w:ascii="Times New Roman" w:eastAsia="Times New Roman" w:hAnsi="Times New Roman" w:cs="Times New Roman"/>
          <w:sz w:val="20"/>
          <w:szCs w:val="20"/>
        </w:rPr>
        <w:t>Artificial Intelligence (AI) holds incredible promise for transforming governance in Malaysia. By enabling efficient public service delivery, fostering data-driven decision-making, and enhancing citizen engagement, AI has the potential to redefine how governments interact with and serve their citizens. The introduction of AI technologies can make processes faster, more accurate, and more inclusive, ensuring that governance evolves in step with the changing needs of society.</w:t>
      </w:r>
    </w:p>
    <w:p w14:paraId="78C6728F" w14:textId="77777777" w:rsidR="005B296B" w:rsidRPr="005B296B" w:rsidRDefault="005B296B" w:rsidP="005B296B">
      <w:pPr>
        <w:spacing w:after="0" w:line="240" w:lineRule="auto"/>
        <w:ind w:left="720" w:firstLine="720"/>
        <w:rPr>
          <w:rFonts w:ascii="Times New Roman" w:eastAsia="Times New Roman" w:hAnsi="Times New Roman" w:cs="Times New Roman"/>
          <w:sz w:val="20"/>
          <w:szCs w:val="20"/>
          <w:lang w:val="en-US"/>
        </w:rPr>
      </w:pPr>
      <w:r w:rsidRPr="005B296B">
        <w:rPr>
          <w:rFonts w:ascii="Times New Roman" w:eastAsia="Times New Roman" w:hAnsi="Times New Roman" w:cs="Times New Roman"/>
          <w:sz w:val="20"/>
          <w:szCs w:val="20"/>
          <w:lang w:val="en-US"/>
        </w:rPr>
        <w:t>However, the road to fully realizing AI’s potential is not without its challenges. Ethical concerns loom large in discussions about AI, as fairness, accountability, and transparency must be at the forefront of any technological integration. Citizens need to trust that these systems will work for their benefit without compromising their rights or perpetuating biases. Equally pressing is the issue of resource constraints, as Malaysia must invest heavily in the infrastructure, training, and technological capacity needed to implement AI at a meaningful scale. Policymakers and leaders must ensure that these systems are not only functional but also sustainable, equitable, and accessible to all.</w:t>
      </w:r>
    </w:p>
    <w:p w14:paraId="7025C651" w14:textId="77777777" w:rsidR="005B296B" w:rsidRPr="005B296B" w:rsidRDefault="005B296B" w:rsidP="005B296B">
      <w:pPr>
        <w:spacing w:after="0" w:line="240" w:lineRule="auto"/>
        <w:ind w:left="720" w:firstLine="720"/>
        <w:rPr>
          <w:rFonts w:ascii="Times New Roman" w:eastAsia="Times New Roman" w:hAnsi="Times New Roman" w:cs="Times New Roman"/>
          <w:sz w:val="20"/>
          <w:szCs w:val="20"/>
          <w:lang w:val="en-US"/>
        </w:rPr>
      </w:pPr>
      <w:r w:rsidRPr="005B296B">
        <w:rPr>
          <w:rFonts w:ascii="Times New Roman" w:eastAsia="Times New Roman" w:hAnsi="Times New Roman" w:cs="Times New Roman"/>
          <w:sz w:val="20"/>
          <w:szCs w:val="20"/>
          <w:lang w:val="en-US"/>
        </w:rPr>
        <w:t>Policy gaps represent another hurdle that Malaysia must address to successfully integrate AI into its governance framework. Clear, comprehensive, and adaptive policies are essential to regulate AI’s ethical application while simultaneously promoting innovation. Without such policies, there is a risk that AI could be misused or fail to live up to its potential, leaving citizens disillusioned with its promises.</w:t>
      </w:r>
    </w:p>
    <w:p w14:paraId="743600B1" w14:textId="77777777" w:rsidR="005B296B" w:rsidRDefault="005B296B" w:rsidP="005B296B">
      <w:pPr>
        <w:spacing w:after="0" w:line="240" w:lineRule="auto"/>
        <w:ind w:left="720" w:firstLine="720"/>
        <w:rPr>
          <w:rFonts w:ascii="Times New Roman" w:eastAsia="Times New Roman" w:hAnsi="Times New Roman" w:cs="Times New Roman"/>
          <w:sz w:val="20"/>
          <w:szCs w:val="20"/>
          <w:lang w:val="en-US"/>
        </w:rPr>
      </w:pPr>
      <w:r w:rsidRPr="005B296B">
        <w:rPr>
          <w:rFonts w:ascii="Times New Roman" w:eastAsia="Times New Roman" w:hAnsi="Times New Roman" w:cs="Times New Roman"/>
          <w:sz w:val="20"/>
          <w:szCs w:val="20"/>
          <w:lang w:val="en-US"/>
        </w:rPr>
        <w:t>The real challenge lies in bridging the gap between the theoretical applications of AI and its practical implementation. While AI offers revolutionary tools, its value can only be realized when these technologies are applied thoughtfully and effectively in real-world settings. Malaysia has an opportunity to lead by example, demonstrating how AI can be harnessed for inclusive and ethical governance. By fostering collaboration among public and private sectors, engaging with citizens to ensure transparency, and promoting education on AI’s potential and limitations, the country can position itself as a leader in using AI to advance public good.</w:t>
      </w:r>
    </w:p>
    <w:p w14:paraId="56C57C76" w14:textId="77777777" w:rsidR="00D52DB9" w:rsidRPr="005B296B" w:rsidRDefault="005B296B" w:rsidP="005B296B">
      <w:pPr>
        <w:spacing w:after="0" w:line="240" w:lineRule="auto"/>
        <w:ind w:left="720" w:firstLine="720"/>
        <w:rPr>
          <w:rFonts w:ascii="Times New Roman" w:eastAsia="Times New Roman" w:hAnsi="Times New Roman" w:cs="Times New Roman"/>
          <w:sz w:val="20"/>
          <w:szCs w:val="20"/>
          <w:lang w:val="en-US"/>
        </w:rPr>
      </w:pPr>
      <w:r w:rsidRPr="005B296B">
        <w:rPr>
          <w:rFonts w:ascii="Times New Roman" w:eastAsia="Times New Roman" w:hAnsi="Times New Roman" w:cs="Times New Roman"/>
          <w:sz w:val="20"/>
          <w:szCs w:val="20"/>
          <w:lang w:val="en-US"/>
        </w:rPr>
        <w:t>In embracing this technology, it is crucial that Malaysia never loses sight of its most important goal: to serve its people. AI must remain a tool to enhance human decision-making and not replace human values. By striking this delicate balance, Malaysia can ensure that it builds a future where technological innovation works hand in hand with inclusivity, ethics, and the preservation of its societal values.</w:t>
      </w:r>
    </w:p>
    <w:p w14:paraId="7144A5F0" w14:textId="77777777" w:rsidR="00D52DB9" w:rsidRDefault="00D52DB9">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0"/>
          <w:szCs w:val="20"/>
        </w:rPr>
      </w:pPr>
    </w:p>
    <w:p w14:paraId="719ED7AE" w14:textId="77777777" w:rsidR="00D52DB9" w:rsidRDefault="00000000">
      <w:pPr>
        <w:pBdr>
          <w:top w:val="nil"/>
          <w:left w:val="nil"/>
          <w:bottom w:val="nil"/>
          <w:right w:val="nil"/>
          <w:between w:val="nil"/>
        </w:pBdr>
        <w:spacing w:after="0" w:line="240" w:lineRule="auto"/>
        <w:ind w:left="717"/>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4"/>
          <w:szCs w:val="24"/>
        </w:rPr>
        <w:t xml:space="preserve">Reference </w:t>
      </w:r>
    </w:p>
    <w:p w14:paraId="75C512D6" w14:textId="77777777" w:rsidR="005B296B" w:rsidRPr="00A714D2" w:rsidRDefault="005B296B" w:rsidP="005B296B">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 xml:space="preserve">Abd Rahim, N., &amp; Indravathy, K. (2024). Emerging ambidextrous opportunities: How Malaysian GLCs can leverage artificial intelligence. </w:t>
      </w:r>
      <w:proofErr w:type="spellStart"/>
      <w:r w:rsidRPr="00A714D2">
        <w:rPr>
          <w:rFonts w:ascii="Times New Roman" w:eastAsia="Times New Roman" w:hAnsi="Times New Roman" w:cs="Times New Roman"/>
          <w:sz w:val="20"/>
          <w:szCs w:val="20"/>
        </w:rPr>
        <w:t>Retrieved</w:t>
      </w:r>
      <w:proofErr w:type="spellEnd"/>
      <w:r w:rsidRPr="00A714D2">
        <w:rPr>
          <w:rFonts w:ascii="Times New Roman" w:eastAsia="Times New Roman" w:hAnsi="Times New Roman" w:cs="Times New Roman"/>
          <w:sz w:val="20"/>
          <w:szCs w:val="20"/>
        </w:rPr>
        <w:t xml:space="preserve"> </w:t>
      </w:r>
      <w:proofErr w:type="spellStart"/>
      <w:r w:rsidRPr="00A714D2">
        <w:rPr>
          <w:rFonts w:ascii="Times New Roman" w:eastAsia="Times New Roman" w:hAnsi="Times New Roman" w:cs="Times New Roman"/>
          <w:sz w:val="20"/>
          <w:szCs w:val="20"/>
        </w:rPr>
        <w:t>from</w:t>
      </w:r>
      <w:proofErr w:type="spellEnd"/>
      <w:r w:rsidRPr="00A714D2">
        <w:rPr>
          <w:rFonts w:ascii="Times New Roman" w:eastAsia="Times New Roman" w:hAnsi="Times New Roman" w:cs="Times New Roman"/>
          <w:sz w:val="20"/>
          <w:szCs w:val="20"/>
        </w:rPr>
        <w:t xml:space="preserve"> </w:t>
      </w:r>
      <w:hyperlink r:id="rId13" w:history="1">
        <w:proofErr w:type="spellStart"/>
        <w:r w:rsidRPr="00A714D2">
          <w:rPr>
            <w:rStyle w:val="Hyperlink"/>
            <w:rFonts w:ascii="Times New Roman" w:eastAsia="Times New Roman" w:hAnsi="Times New Roman" w:cs="Times New Roman"/>
            <w:sz w:val="20"/>
            <w:szCs w:val="20"/>
          </w:rPr>
          <w:t>ResearchGate</w:t>
        </w:r>
        <w:proofErr w:type="spellEnd"/>
      </w:hyperlink>
      <w:r w:rsidRPr="00A714D2">
        <w:rPr>
          <w:rFonts w:ascii="Times New Roman" w:eastAsia="Times New Roman" w:hAnsi="Times New Roman" w:cs="Times New Roman"/>
          <w:sz w:val="20"/>
          <w:szCs w:val="20"/>
        </w:rPr>
        <w:t>.</w:t>
      </w:r>
    </w:p>
    <w:p w14:paraId="247099D9" w14:textId="77777777" w:rsidR="005B296B" w:rsidRPr="00A714D2" w:rsidRDefault="005B296B" w:rsidP="005B296B">
      <w:pPr>
        <w:spacing w:after="0"/>
        <w:ind w:left="1276" w:hanging="578"/>
        <w:rPr>
          <w:rFonts w:ascii="Times New Roman" w:eastAsia="Times New Roman" w:hAnsi="Times New Roman" w:cs="Times New Roman"/>
          <w:sz w:val="20"/>
          <w:szCs w:val="20"/>
          <w:lang w:val="en-US"/>
        </w:rPr>
      </w:pPr>
      <w:r w:rsidRPr="00A714D2">
        <w:rPr>
          <w:rFonts w:ascii="Times New Roman" w:eastAsia="Times New Roman" w:hAnsi="Times New Roman" w:cs="Times New Roman"/>
          <w:sz w:val="20"/>
          <w:szCs w:val="20"/>
          <w:lang w:val="en-US"/>
        </w:rPr>
        <w:t xml:space="preserve">Lim, S. B., &amp; </w:t>
      </w:r>
      <w:proofErr w:type="spellStart"/>
      <w:r w:rsidRPr="00A714D2">
        <w:rPr>
          <w:rFonts w:ascii="Times New Roman" w:eastAsia="Times New Roman" w:hAnsi="Times New Roman" w:cs="Times New Roman"/>
          <w:sz w:val="20"/>
          <w:szCs w:val="20"/>
          <w:lang w:val="en-US"/>
        </w:rPr>
        <w:t>Yigitcanlar</w:t>
      </w:r>
      <w:proofErr w:type="spellEnd"/>
      <w:r w:rsidRPr="00A714D2">
        <w:rPr>
          <w:rFonts w:ascii="Times New Roman" w:eastAsia="Times New Roman" w:hAnsi="Times New Roman" w:cs="Times New Roman"/>
          <w:sz w:val="20"/>
          <w:szCs w:val="20"/>
          <w:lang w:val="en-US"/>
        </w:rPr>
        <w:t xml:space="preserve">, T. (2022). Participatory governance of smart cities: Insights from e-participation of Putrajaya and </w:t>
      </w:r>
      <w:proofErr w:type="spellStart"/>
      <w:r w:rsidRPr="00A714D2">
        <w:rPr>
          <w:rFonts w:ascii="Times New Roman" w:eastAsia="Times New Roman" w:hAnsi="Times New Roman" w:cs="Times New Roman"/>
          <w:sz w:val="20"/>
          <w:szCs w:val="20"/>
          <w:lang w:val="en-US"/>
        </w:rPr>
        <w:t>Petaling</w:t>
      </w:r>
      <w:proofErr w:type="spellEnd"/>
      <w:r w:rsidRPr="00A714D2">
        <w:rPr>
          <w:rFonts w:ascii="Times New Roman" w:eastAsia="Times New Roman" w:hAnsi="Times New Roman" w:cs="Times New Roman"/>
          <w:sz w:val="20"/>
          <w:szCs w:val="20"/>
          <w:lang w:val="en-US"/>
        </w:rPr>
        <w:t xml:space="preserve"> Jaya. MDPI. Retrieved from </w:t>
      </w:r>
      <w:hyperlink r:id="rId14" w:history="1">
        <w:r w:rsidRPr="00A714D2">
          <w:rPr>
            <w:rStyle w:val="Hyperlink"/>
            <w:rFonts w:ascii="Times New Roman" w:eastAsia="Times New Roman" w:hAnsi="Times New Roman" w:cs="Times New Roman"/>
            <w:sz w:val="20"/>
            <w:szCs w:val="20"/>
            <w:lang w:val="en-US"/>
          </w:rPr>
          <w:t>MDPI</w:t>
        </w:r>
      </w:hyperlink>
      <w:r w:rsidRPr="00A714D2">
        <w:rPr>
          <w:rFonts w:ascii="Times New Roman" w:eastAsia="Times New Roman" w:hAnsi="Times New Roman" w:cs="Times New Roman"/>
          <w:sz w:val="20"/>
          <w:szCs w:val="20"/>
          <w:lang w:val="en-US"/>
        </w:rPr>
        <w:t>.</w:t>
      </w:r>
    </w:p>
    <w:p w14:paraId="0ECAE849" w14:textId="77777777" w:rsidR="005B296B" w:rsidRPr="00A714D2" w:rsidRDefault="005B296B" w:rsidP="005B296B">
      <w:pPr>
        <w:spacing w:after="0"/>
        <w:ind w:left="1276" w:hanging="578"/>
        <w:rPr>
          <w:rFonts w:ascii="Times New Roman" w:eastAsia="Times New Roman" w:hAnsi="Times New Roman" w:cs="Times New Roman"/>
          <w:sz w:val="20"/>
          <w:szCs w:val="20"/>
          <w:lang w:val="en-US"/>
        </w:rPr>
      </w:pPr>
      <w:r w:rsidRPr="00A714D2">
        <w:rPr>
          <w:rFonts w:ascii="Times New Roman" w:eastAsia="Times New Roman" w:hAnsi="Times New Roman" w:cs="Times New Roman"/>
          <w:sz w:val="20"/>
          <w:szCs w:val="20"/>
          <w:lang w:val="en-US"/>
        </w:rPr>
        <w:t xml:space="preserve">Upreti, K., Verma, A., Mittal, S., Vats, P., &amp; Haque, M. (2023). A novel framework for harnessing AI for evidence-based policymaking in e-governance. Springer. Retrieved from </w:t>
      </w:r>
      <w:hyperlink r:id="rId15" w:history="1">
        <w:r w:rsidRPr="00A714D2">
          <w:rPr>
            <w:rStyle w:val="Hyperlink"/>
            <w:rFonts w:ascii="Times New Roman" w:eastAsia="Times New Roman" w:hAnsi="Times New Roman" w:cs="Times New Roman"/>
            <w:sz w:val="20"/>
            <w:szCs w:val="20"/>
            <w:lang w:val="en-US"/>
          </w:rPr>
          <w:t>Springer</w:t>
        </w:r>
      </w:hyperlink>
      <w:r w:rsidRPr="00A714D2">
        <w:rPr>
          <w:rFonts w:ascii="Times New Roman" w:eastAsia="Times New Roman" w:hAnsi="Times New Roman" w:cs="Times New Roman"/>
          <w:sz w:val="20"/>
          <w:szCs w:val="20"/>
          <w:lang w:val="en-US"/>
        </w:rPr>
        <w:t>.</w:t>
      </w:r>
    </w:p>
    <w:p w14:paraId="7898FB89" w14:textId="1A51A263" w:rsidR="005B296B" w:rsidRPr="00D508DE" w:rsidRDefault="005B296B" w:rsidP="00D508DE">
      <w:pPr>
        <w:spacing w:after="0"/>
        <w:ind w:left="1276" w:hanging="578"/>
        <w:rPr>
          <w:rFonts w:ascii="Times New Roman" w:eastAsia="Times New Roman" w:hAnsi="Times New Roman" w:cs="Times New Roman"/>
          <w:sz w:val="18"/>
          <w:szCs w:val="18"/>
          <w:lang w:val="en-US"/>
        </w:rPr>
      </w:pPr>
      <w:r w:rsidRPr="00A714D2">
        <w:rPr>
          <w:rFonts w:ascii="Times New Roman" w:eastAsia="Times New Roman" w:hAnsi="Times New Roman" w:cs="Times New Roman"/>
          <w:sz w:val="20"/>
          <w:szCs w:val="20"/>
          <w:lang w:val="en-US"/>
        </w:rPr>
        <w:t>Salleh, S. H., Hisham, A. A. B., &amp; Yusof, N. A. M. (2024). Transforming governance:</w:t>
      </w:r>
      <w:r w:rsidR="00D508DE" w:rsidRPr="00A714D2">
        <w:rPr>
          <w:rFonts w:ascii="Times New Roman" w:eastAsia="Times New Roman" w:hAnsi="Times New Roman" w:cs="Times New Roman"/>
          <w:sz w:val="20"/>
          <w:szCs w:val="20"/>
          <w:lang w:val="en-US"/>
        </w:rPr>
        <w:t xml:space="preserve"> </w:t>
      </w:r>
      <w:r w:rsidRPr="00A714D2">
        <w:rPr>
          <w:rFonts w:ascii="Times New Roman" w:eastAsia="Times New Roman" w:hAnsi="Times New Roman" w:cs="Times New Roman"/>
          <w:sz w:val="20"/>
          <w:szCs w:val="20"/>
          <w:lang w:val="en-US"/>
        </w:rPr>
        <w:t>A systematic review of AI applications in policymaking.</w:t>
      </w:r>
      <w:r w:rsidR="00D508DE" w:rsidRPr="00A714D2">
        <w:rPr>
          <w:rFonts w:ascii="Times New Roman" w:eastAsia="Times New Roman" w:hAnsi="Times New Roman" w:cs="Times New Roman"/>
          <w:sz w:val="20"/>
          <w:szCs w:val="20"/>
          <w:lang w:val="en-US"/>
        </w:rPr>
        <w:t xml:space="preserve"> </w:t>
      </w:r>
      <w:r w:rsidRPr="00A714D2">
        <w:rPr>
          <w:rFonts w:ascii="Times New Roman" w:eastAsia="Times New Roman" w:hAnsi="Times New Roman" w:cs="Times New Roman"/>
          <w:sz w:val="20"/>
          <w:szCs w:val="20"/>
          <w:lang w:val="en-US"/>
        </w:rPr>
        <w:t xml:space="preserve">ResearchGate. Retrieved from </w:t>
      </w:r>
      <w:hyperlink r:id="rId16" w:history="1">
        <w:r w:rsidRPr="00A714D2">
          <w:rPr>
            <w:rStyle w:val="Hyperlink"/>
            <w:rFonts w:ascii="Times New Roman" w:eastAsia="Times New Roman" w:hAnsi="Times New Roman" w:cs="Times New Roman"/>
            <w:sz w:val="20"/>
            <w:szCs w:val="20"/>
            <w:lang w:val="en-US"/>
          </w:rPr>
          <w:t>ResearchGate</w:t>
        </w:r>
      </w:hyperlink>
      <w:r w:rsidRPr="005B296B">
        <w:rPr>
          <w:rFonts w:ascii="Times New Roman" w:eastAsia="Times New Roman" w:hAnsi="Times New Roman" w:cs="Times New Roman"/>
          <w:sz w:val="18"/>
          <w:szCs w:val="18"/>
          <w:lang w:val="en-US"/>
        </w:rPr>
        <w:t>.</w:t>
      </w:r>
    </w:p>
    <w:p w14:paraId="6ACFA52B" w14:textId="77777777" w:rsidR="004C6797" w:rsidRDefault="00640082" w:rsidP="004C6797">
      <w:pPr>
        <w:pStyle w:val="Heading1"/>
      </w:pPr>
      <w:r>
        <w:rPr>
          <w:rFonts w:eastAsia="Times New Roman"/>
          <w:color w:val="000000"/>
          <w:sz w:val="18"/>
          <w:szCs w:val="18"/>
        </w:rPr>
        <w:br w:type="page"/>
      </w:r>
      <w:bookmarkStart w:id="2" w:name="_Toc197537589"/>
      <w:r w:rsidR="004C6797">
        <w:t>AI in International Relations: A Triumph for Progress or a Menace to Humanity?</w:t>
      </w:r>
      <w:bookmarkEnd w:id="2"/>
    </w:p>
    <w:p w14:paraId="3B005F4D" w14:textId="77777777" w:rsidR="004C6797" w:rsidRDefault="004C6797" w:rsidP="004C6797">
      <w:pPr>
        <w:ind w:left="0"/>
        <w:jc w:val="left"/>
        <w:rPr>
          <w:rFonts w:ascii="Times New Roman" w:eastAsia="Times New Roman" w:hAnsi="Times New Roman" w:cs="Times New Roman"/>
          <w:b/>
          <w:sz w:val="24"/>
          <w:szCs w:val="24"/>
        </w:rPr>
      </w:pPr>
    </w:p>
    <w:p w14:paraId="1854F068" w14:textId="77777777" w:rsidR="004C6797" w:rsidRPr="006701AC" w:rsidRDefault="004C6797" w:rsidP="004C6797">
      <w:pPr>
        <w:pStyle w:val="Heading2"/>
        <w:rPr>
          <w:lang w:val="en-ID"/>
        </w:rPr>
      </w:pPr>
      <w:bookmarkStart w:id="3" w:name="_Toc197537590"/>
      <w:proofErr w:type="spellStart"/>
      <w:r w:rsidRPr="006701AC">
        <w:rPr>
          <w:lang w:val="en-ID"/>
        </w:rPr>
        <w:t>Ashrie</w:t>
      </w:r>
      <w:proofErr w:type="spellEnd"/>
      <w:r w:rsidRPr="006701AC">
        <w:rPr>
          <w:lang w:val="en-ID"/>
        </w:rPr>
        <w:t xml:space="preserve"> Wahid</w:t>
      </w:r>
      <w:r w:rsidRPr="006701AC">
        <w:rPr>
          <w:vertAlign w:val="superscript"/>
          <w:lang w:val="en-ID"/>
        </w:rPr>
        <w:t>1</w:t>
      </w:r>
      <w:bookmarkEnd w:id="3"/>
    </w:p>
    <w:p w14:paraId="0D977AAF" w14:textId="77777777" w:rsidR="004C6797" w:rsidRDefault="004C6797" w:rsidP="004C6797">
      <w:pPr>
        <w:spacing w:after="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International Relations, Faculty of Social and Political Sciences, Hasanuddin University, Makassar, Indonesia</w:t>
      </w:r>
    </w:p>
    <w:p w14:paraId="074A4832" w14:textId="77777777" w:rsidR="004C6797" w:rsidRDefault="004C6797" w:rsidP="004C6797">
      <w:pPr>
        <w:spacing w:after="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ashriewahidnonyrie@gmail.com</w:t>
      </w:r>
    </w:p>
    <w:p w14:paraId="47C0579E" w14:textId="77777777" w:rsidR="004C6797" w:rsidRDefault="004C6797" w:rsidP="004C6797">
      <w:pPr>
        <w:rPr>
          <w:vertAlign w:val="superscript"/>
        </w:rPr>
      </w:pPr>
    </w:p>
    <w:p w14:paraId="38EE1DBE" w14:textId="77777777" w:rsidR="004C6797" w:rsidRPr="004C6797" w:rsidRDefault="004C6797" w:rsidP="004C6797">
      <w:pPr>
        <w:jc w:val="center"/>
        <w:rPr>
          <w:rFonts w:ascii="Times New Roman" w:hAnsi="Times New Roman" w:cs="Times New Roman"/>
          <w:b/>
          <w:bCs/>
          <w:sz w:val="24"/>
          <w:szCs w:val="24"/>
          <w:lang w:val="en-ID"/>
        </w:rPr>
      </w:pPr>
      <w:r w:rsidRPr="004C6797">
        <w:rPr>
          <w:rFonts w:ascii="Times New Roman" w:hAnsi="Times New Roman" w:cs="Times New Roman"/>
          <w:b/>
          <w:bCs/>
          <w:sz w:val="24"/>
          <w:szCs w:val="24"/>
          <w:lang w:val="en-ID"/>
        </w:rPr>
        <w:t>Abstract</w:t>
      </w:r>
    </w:p>
    <w:p w14:paraId="21F7D798" w14:textId="77777777" w:rsidR="004C6797" w:rsidRDefault="004C6797" w:rsidP="004C6797">
      <w:pPr>
        <w:spacing w:line="240" w:lineRule="auto"/>
        <w:ind w:firstLine="357"/>
        <w:rPr>
          <w:rFonts w:ascii="Times New Roman" w:eastAsia="Times New Roman" w:hAnsi="Times New Roman" w:cs="Times New Roman"/>
          <w:sz w:val="18"/>
          <w:szCs w:val="18"/>
        </w:rPr>
      </w:pPr>
      <w:r>
        <w:rPr>
          <w:rFonts w:ascii="Times New Roman" w:eastAsia="Times New Roman" w:hAnsi="Times New Roman" w:cs="Times New Roman"/>
          <w:sz w:val="18"/>
          <w:szCs w:val="18"/>
        </w:rPr>
        <w:t>The exponential growth of the development and use of artificial intelligence has resulted in much consideration for its eventual utilization in international relations. Its much-heralded reputation for its ability to assess information at a level almost akin to that of a human has enabled discussions to leverage its capacities to resolve current issues, be they geopolitical or environmental. Its capacity to break social and cultural barriers through automated data analysis, efficient coordination, and advanced interpretations has painted its reputation as an indispensable tool for diplomacy, a guideline for immigration control, and an antidote against climate change. However, even with such an array of benefits, its potential for misuse, excessive use of resources, and even weaponization has led many to question its true capacity or intentions. This paper is then devised as a response to the notion of continued use of AI in international affairs. It comprises a comprehensive and qualitative insight into its applications on three main aspects, namely diplomacy, immigration, and climate change, that is based on observations toward selected references. The findings made in this paper allude to the need for further regulations and human intervention to prevent potential misuse or negative exploitation.</w:t>
      </w:r>
    </w:p>
    <w:p w14:paraId="3C16A654" w14:textId="77777777" w:rsidR="004C6797" w:rsidRDefault="004C6797" w:rsidP="004C6797">
      <w:pPr>
        <w:spacing w:line="240" w:lineRule="auto"/>
        <w:ind w:firstLine="357"/>
        <w:rPr>
          <w:rFonts w:ascii="Times New Roman" w:eastAsia="Times New Roman" w:hAnsi="Times New Roman" w:cs="Times New Roman"/>
          <w:i/>
          <w:sz w:val="18"/>
          <w:szCs w:val="18"/>
        </w:rPr>
      </w:pPr>
      <w:r>
        <w:rPr>
          <w:rFonts w:ascii="Times New Roman" w:eastAsia="Times New Roman" w:hAnsi="Times New Roman" w:cs="Times New Roman"/>
          <w:b/>
          <w:i/>
          <w:sz w:val="18"/>
          <w:szCs w:val="18"/>
        </w:rPr>
        <w:t>Keywords:</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artificial intelligence; climate change; diplomacy; progress; change; immigration; global affairs</w:t>
      </w:r>
    </w:p>
    <w:p w14:paraId="4BF7C2A0" w14:textId="77777777" w:rsidR="004C6797" w:rsidRDefault="004C6797" w:rsidP="004C6797">
      <w:pPr>
        <w:spacing w:line="240" w:lineRule="auto"/>
        <w:ind w:firstLine="357"/>
        <w:rPr>
          <w:rFonts w:ascii="Times New Roman" w:eastAsia="Times New Roman" w:hAnsi="Times New Roman" w:cs="Times New Roman"/>
          <w:i/>
          <w:sz w:val="18"/>
          <w:szCs w:val="18"/>
        </w:rPr>
      </w:pPr>
    </w:p>
    <w:p w14:paraId="7AF2535B" w14:textId="77777777" w:rsidR="004C6797" w:rsidRDefault="004C6797" w:rsidP="004C6797">
      <w:pPr>
        <w:numPr>
          <w:ilvl w:val="0"/>
          <w:numId w:val="13"/>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3D74C517"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There has been a substantial degree of technological advancement since the Industrial Revolution. What began as a venture to simplify agricultural and production processes through textiles manufacturing and foundry has resulted in the inherent need to advance human well-being and activities. This has resulted in an exponential decrease in the amount of time taken by humans to conduct day-to-day activities, which has been made possible by the introduction of technologies such as robotics, digital computers, and the internet; the latter of which brought upon a level of interconnectedness never seen before in the thousands of years since the first human civilization came to existence. Technological advancements and a progressive integration of social and economic activities through globalization have laid the foundation for the use of artificial intelligence (AI) on an international scale, which continues to undergo advancements to this day.</w:t>
      </w:r>
    </w:p>
    <w:p w14:paraId="43B9E716"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In this case, artificial intelligence can be distinguished as human-created machines capable of performing advanced functions that would otherwise be taxing for manually instructed machines. It has a wide range of potential applications that can be used to solve underlying issues. Yet, as its functions continually evolve in recent times, ethical concerns regarding its risks and underlying consequences on human society have grown, especially in the field of international relations, where it plays a huge role both in the practical conduct of interstate affairs and the expansion of legal definitions at an international level. The objective of this paper is to assess the impact artificial intelligence has had and will continue to impose on international relations with a particular focus on three scopes: AI on Diplomacy, AI on Immigration, and AI on Climate. It will also aim to analyze how artificial intelligence impacts key aspects of global politics, such as diplomacy, immigration, and climate change, explain how the use of artificial intelligence can both benefit and hinder progress in global politics, and provide suggestions to mitigate the risks of the use of artificial intelligence to ensure responsible and transparent utilization of tools.</w:t>
      </w:r>
    </w:p>
    <w:p w14:paraId="4DE307C4" w14:textId="77777777" w:rsidR="004C6797" w:rsidRDefault="004C6797" w:rsidP="004C6797">
      <w:pPr>
        <w:pBdr>
          <w:top w:val="nil"/>
          <w:left w:val="nil"/>
          <w:bottom w:val="nil"/>
          <w:right w:val="nil"/>
          <w:between w:val="nil"/>
        </w:pBdr>
        <w:spacing w:after="0" w:line="240" w:lineRule="auto"/>
        <w:ind w:left="0"/>
        <w:rPr>
          <w:rFonts w:ascii="Times New Roman" w:eastAsia="Times New Roman" w:hAnsi="Times New Roman" w:cs="Times New Roman"/>
          <w:color w:val="000000"/>
          <w:sz w:val="20"/>
          <w:szCs w:val="20"/>
        </w:rPr>
      </w:pPr>
    </w:p>
    <w:p w14:paraId="19ADBCB4"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0"/>
          <w:szCs w:val="20"/>
        </w:rPr>
      </w:pPr>
    </w:p>
    <w:p w14:paraId="392CF858" w14:textId="77777777" w:rsidR="004C6797" w:rsidRDefault="004C6797" w:rsidP="004C6797">
      <w:pPr>
        <w:numPr>
          <w:ilvl w:val="0"/>
          <w:numId w:val="13"/>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Methods</w:t>
      </w:r>
    </w:p>
    <w:p w14:paraId="0D400F3B" w14:textId="77777777" w:rsidR="004C6797" w:rsidRDefault="004C6797" w:rsidP="004C6797">
      <w:pPr>
        <w:spacing w:line="240" w:lineRule="auto"/>
        <w:ind w:left="717" w:firstLine="363"/>
        <w:rPr>
          <w:rFonts w:ascii="Times New Roman" w:eastAsia="Times New Roman" w:hAnsi="Times New Roman" w:cs="Times New Roman"/>
          <w:sz w:val="20"/>
          <w:szCs w:val="20"/>
        </w:rPr>
      </w:pPr>
      <w:r>
        <w:rPr>
          <w:rFonts w:ascii="Times New Roman" w:eastAsia="Times New Roman" w:hAnsi="Times New Roman" w:cs="Times New Roman"/>
          <w:sz w:val="20"/>
          <w:szCs w:val="20"/>
        </w:rPr>
        <w:t>This research is based on qualitative research, which involves using and analyzing newspaper journals and scholarly articles. It comprises sources that provide information on the application of artificial intelligence in international relations, including newspaper articles, reports from intergovernmental and non-governmental organizations, and peer-reviewed journal articles and books. The paper will be based on an analytical framework that involves the assessment of potential benefits and risks of artificial intelligence in international relations, spanning a synthesis of literary sources on the three aforementioned scopes of focus, a discussion on how artificial intelligence is both advantageous and disadvantageous in its application on international affairs, suggestions on potential solutions, and a conclusion that summarizes the entire discussion.</w:t>
      </w:r>
    </w:p>
    <w:p w14:paraId="6D94F3F1" w14:textId="77777777" w:rsidR="004C6797" w:rsidRDefault="004C6797" w:rsidP="004C6797">
      <w:pPr>
        <w:numPr>
          <w:ilvl w:val="0"/>
          <w:numId w:val="13"/>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 and Discussion </w:t>
      </w:r>
    </w:p>
    <w:p w14:paraId="065F5685" w14:textId="77777777" w:rsidR="004C6797" w:rsidRDefault="004C6797" w:rsidP="004C6797">
      <w:pPr>
        <w:pBdr>
          <w:top w:val="nil"/>
          <w:left w:val="nil"/>
          <w:bottom w:val="nil"/>
          <w:right w:val="nil"/>
          <w:between w:val="nil"/>
        </w:pBdr>
        <w:spacing w:after="0" w:line="240" w:lineRule="auto"/>
        <w:ind w:left="717"/>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AI in Diplomacy</w:t>
      </w:r>
    </w:p>
    <w:p w14:paraId="1286EA6F" w14:textId="77777777" w:rsidR="004C6797" w:rsidRDefault="004C6797" w:rsidP="004C6797">
      <w:pPr>
        <w:pBdr>
          <w:top w:val="nil"/>
          <w:left w:val="nil"/>
          <w:bottom w:val="nil"/>
          <w:right w:val="nil"/>
          <w:between w:val="nil"/>
        </w:pBdr>
        <w:spacing w:after="0" w:line="240" w:lineRule="auto"/>
        <w:ind w:left="717" w:firstLine="719"/>
        <w:rPr>
          <w:rFonts w:ascii="Times New Roman" w:eastAsia="Times New Roman" w:hAnsi="Times New Roman" w:cs="Times New Roman"/>
          <w:sz w:val="20"/>
          <w:szCs w:val="20"/>
        </w:rPr>
      </w:pPr>
      <w:r>
        <w:rPr>
          <w:rFonts w:ascii="Times New Roman" w:eastAsia="Times New Roman" w:hAnsi="Times New Roman" w:cs="Times New Roman"/>
          <w:sz w:val="20"/>
          <w:szCs w:val="20"/>
        </w:rPr>
        <w:t>Artificial intelligence provides a great deal of tools for the conduct of interstate affairs and relations, which is heavily reflected in the interactions and negotiations between said states. While traditional diplomacy has been instrumental in shaping modern global geopolitical dynamics, new challenges brought upon by globalization severely inhibit its effectiveness; a more interconnected world essentially forces worldwide cooperation over increasingly complex issues, such as cyber and asymmetrical warfare, pandemics, and contentious territorial disputes. Such large-scale cooperation can be severely hindered by still-persistent language barriers, lack of information-sharing, and increasingly vulnerable security frameworks that maintain the safety and transparency of interactions between states (Midfa, 2024).</w:t>
      </w:r>
    </w:p>
    <w:p w14:paraId="5CDC6E0D" w14:textId="77777777" w:rsidR="004C6797" w:rsidRDefault="004C6797" w:rsidP="004C6797">
      <w:pPr>
        <w:widowControl w:val="0"/>
        <w:pBdr>
          <w:top w:val="nil"/>
          <w:left w:val="nil"/>
          <w:bottom w:val="nil"/>
          <w:right w:val="nil"/>
          <w:between w:val="nil"/>
        </w:pBdr>
        <w:spacing w:after="0" w:line="240" w:lineRule="auto"/>
        <w:ind w:left="717" w:right="-46"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As such, along with an increasing trend toward more accessible embassies via virtual platforms, artificial intelligence has also been regarded as a transformative tool in diplomacy. Unlike traditional means of decision-making, interpretation, and security, it can potentially reduce the bureaucracy in implementing international agreements and/or interpreting the meaning of treaties and conventions, further contributing to a more accessible array of solutions in global affairs. Decisions can now be easily made in most parts due to the virtually automatic collection of data through predictive analytics, made possible by applications such as Palantir Foundry and Microsoft Azure, which immensely reduces the time required to assess economic conditions or other political variables effectively. Translations can now be done automatically and almost seamlessly thanks to translation services and AI voice generators, such as Elevenlabs, that immediately dub a corresponding voice to another language with high accuracy. Other aspects, such as the creation of hypothetical scenarios for decision support and heightened cybersecurity, have also been further simplified through various applications, such as OpenAI’s ChatGPT and cybersecurity initiatives (Midfa, 2024; Marta, 2023).</w:t>
      </w:r>
    </w:p>
    <w:p w14:paraId="0F76DEBD" w14:textId="77777777" w:rsidR="004C6797" w:rsidRDefault="004C6797" w:rsidP="004C6797">
      <w:pPr>
        <w:widowControl w:val="0"/>
        <w:pBdr>
          <w:top w:val="nil"/>
          <w:left w:val="nil"/>
          <w:bottom w:val="nil"/>
          <w:right w:val="nil"/>
          <w:between w:val="nil"/>
        </w:pBdr>
        <w:spacing w:after="0" w:line="240" w:lineRule="auto"/>
        <w:ind w:left="717" w:right="-46"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The application of artificial intelligence can provide an immense array of benefits, which helps reduce the complexities of diplomatic relations. First and foremost, this will result in a significant improvement of the quality of communications between states; as previously mentioned, AI’s improved capabilities in seamlessly translating multiple languages and creating accurate interpretations of the meanings of diplomatic interactions do not only enhance the effectiveness of communication and decision-making, but it also allows AI to carefully consider various nuances that relate to the cultural undertones and the context of such interactions, which ensures better outreach for communications and the prevention of further misunderstandings that could lead to diplomatic incidents. Additionally, with better data gathering, information could be gathered promptly that allows for actionable and informed decisions that can be effective in resolving issues. Furthermore, this could lead to better decision-making in the part of diplomats and state leaders, aided by seemingly unlimited opportunities for scenario analysis that not only assesses risks and benefits of foreign policy decisions, but also allows for effective crisis management in the event of sudden issues.</w:t>
      </w:r>
    </w:p>
    <w:p w14:paraId="5E4BAF5B" w14:textId="77777777" w:rsidR="004C6797" w:rsidRDefault="004C6797" w:rsidP="004C6797">
      <w:pPr>
        <w:widowControl w:val="0"/>
        <w:pBdr>
          <w:top w:val="nil"/>
          <w:left w:val="nil"/>
          <w:bottom w:val="nil"/>
          <w:right w:val="nil"/>
          <w:between w:val="nil"/>
        </w:pBdr>
        <w:spacing w:after="0" w:line="240" w:lineRule="auto"/>
        <w:ind w:left="717" w:right="-46"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However, this is severely dampened by several consequences. For a start, the array of information used to train AI models can pose an ethical issue that could potentially narrow the purpose of such technologies and risk generating discriminatory outcomes, not to mention the risk of plagiarism that could result in significant infringements toward intellectual properties. The lack of human intervention could serve as an antithesis toward AI’s purported sensitivity towards cultural nuances and contexts, which could risk in tone-deaf interactions that can damage state relationships. Certain artificial intelligence technologies can also be used as a tool or weapon to damage the credibility of certain actors through deepfakes made by state or non-state actors, thus resulting in the escalation of tensions. Finally, it could also serve to amplify further issues it sought to resolve by increasing demands for resources and even pose questions regarding its role and ethical issues.</w:t>
      </w:r>
    </w:p>
    <w:p w14:paraId="189326D4" w14:textId="77777777" w:rsidR="004C6797" w:rsidRDefault="004C6797" w:rsidP="004C6797">
      <w:pPr>
        <w:spacing w:before="27"/>
        <w:ind w:left="0"/>
        <w:rPr>
          <w:rFonts w:ascii="Times New Roman" w:eastAsia="Times New Roman" w:hAnsi="Times New Roman" w:cs="Times New Roman"/>
          <w:b/>
          <w:sz w:val="20"/>
          <w:szCs w:val="20"/>
        </w:rPr>
      </w:pPr>
    </w:p>
    <w:p w14:paraId="604554A7" w14:textId="77777777" w:rsidR="004C6797" w:rsidRDefault="004C6797" w:rsidP="004C6797">
      <w:pPr>
        <w:pBdr>
          <w:top w:val="nil"/>
          <w:left w:val="nil"/>
          <w:bottom w:val="nil"/>
          <w:right w:val="nil"/>
          <w:between w:val="nil"/>
        </w:pBdr>
        <w:spacing w:line="240" w:lineRule="auto"/>
        <w:ind w:left="717"/>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AI on Immigration</w:t>
      </w:r>
    </w:p>
    <w:p w14:paraId="5ECD6900" w14:textId="77777777" w:rsidR="004C6797" w:rsidRDefault="004C6797" w:rsidP="004C6797">
      <w:pPr>
        <w:widowControl w:val="0"/>
        <w:pBdr>
          <w:top w:val="nil"/>
          <w:left w:val="nil"/>
          <w:bottom w:val="nil"/>
          <w:right w:val="nil"/>
          <w:between w:val="nil"/>
        </w:pBdr>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Along the same lines, artificial intelligence has also been used in increasing frequencies by authorities and parties working in the immigration field. Prior to the advent of artificial intelligence, technologies such as facial recognition were recognized for their potential to ease the complexities of border control and reduce the need for authorities to trace suspicious individuals. However, the use of such technologies in the immigration field was limited at best, and it was not until the outset of conflicts in the early years of the 21st century, including the Syrian Civil War and the rise of ISIS, that the demand for technological advancement increased. Ongoing conflicts in every corner of the world, particularly countries in Africa, Southeast Asia and the Middle East, have resulted in a sudden influx of refugees and a slew of questions on what constitutes a refugee that threatened to realize the obsolescence of the 1951 Refugee Convention.</w:t>
      </w:r>
    </w:p>
    <w:p w14:paraId="09421924" w14:textId="77777777" w:rsidR="004C6797" w:rsidRDefault="004C6797" w:rsidP="004C6797">
      <w:pPr>
        <w:widowControl w:val="0"/>
        <w:pBdr>
          <w:top w:val="nil"/>
          <w:left w:val="nil"/>
          <w:bottom w:val="nil"/>
          <w:right w:val="nil"/>
          <w:between w:val="nil"/>
        </w:pBdr>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As such, the 21st century saw an increase in AI technologies being used in immigration systems to enhance efficiency, security, and communication. These technologies include the application of border security measures such as facial recognition (used to streamline border crossings by verifying the identities of travelers and migrants using records of their faces), biometric scanning (fingerprint and iris scanning), and anomaly detection systems that track and flag behaviors deemed unusual or suspicious. Additionally, decision-making is eased by allowing for automated risk assessment of each traveler or migrant through comprehensive analyses of criminal records, travel history, and other relevant data that might be of use during such inspections, which helps in fraud detection or identifying trends. Finally, as with the use of AI in diplomatic circumstances, language barriers can be reduced with the usage of multilingual chatbots and voice generators that automatically translate a sentence into another language. Such technologies provide immigration authorities and relevant parties with a variety of tools that can simplify the assessment of immigrant/refugee statuses and border control (Kabir, Sumi &amp; Alam, 2023; Hamdi, Briando &amp; Santiago, 2024).</w:t>
      </w:r>
    </w:p>
    <w:p w14:paraId="47CB4262" w14:textId="77777777" w:rsidR="004C6797" w:rsidRDefault="004C6797" w:rsidP="004C6797">
      <w:pPr>
        <w:widowControl w:val="0"/>
        <w:pBdr>
          <w:top w:val="nil"/>
          <w:left w:val="nil"/>
          <w:bottom w:val="nil"/>
          <w:right w:val="nil"/>
          <w:between w:val="nil"/>
        </w:pBdr>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Currently, there have been worldwide efforts to integrate such technologies into a comprehensive framework that allows for the reduction of bureaucracy in border control and immigration assessments. A prime example of this can be seen in the UNHCR’s Population Registration and Identity Management Eco System, abbreviated as PRIMES, which combines the use of AI and transformative structural measures to ensure the enhancement of immigration systems and to remove strain on governments that are currently burdened with migrant or refugee issues. The system achieves this by relying on the assessment of repositories of migrants’ data, which are gathered through points of entry or during humanitarian crises, and by using said data to facilitate the registration processes required for every migrant or refugee to enter foreign territory. This data is then shared with partners to ensure effective coordination in the process. Aside from the application of the previously mentioned technologies, it also ensures continued human intervention by supporting the management of individual cases and the distribution of aid, which is designed to lessen the strains of the process on both immigration authorities and applicants (UNHCR, n.d.).</w:t>
      </w:r>
    </w:p>
    <w:p w14:paraId="5BBE8E4E" w14:textId="77777777" w:rsidR="004C6797" w:rsidRDefault="004C6797" w:rsidP="004C6797">
      <w:pPr>
        <w:widowControl w:val="0"/>
        <w:pBdr>
          <w:top w:val="nil"/>
          <w:left w:val="nil"/>
          <w:bottom w:val="nil"/>
          <w:right w:val="nil"/>
          <w:between w:val="nil"/>
        </w:pBdr>
        <w:spacing w:before="51" w:after="0" w:line="240" w:lineRule="auto"/>
        <w:ind w:left="717" w:right="142" w:firstLine="619"/>
        <w:rPr>
          <w:rFonts w:ascii="Times New Roman" w:eastAsia="Times New Roman" w:hAnsi="Times New Roman" w:cs="Times New Roman"/>
          <w:sz w:val="20"/>
          <w:szCs w:val="20"/>
        </w:rPr>
      </w:pPr>
    </w:p>
    <w:p w14:paraId="386624F9" w14:textId="77777777" w:rsidR="004C6797" w:rsidRDefault="004C6797" w:rsidP="004C6797">
      <w:pPr>
        <w:widowControl w:val="0"/>
        <w:pBdr>
          <w:top w:val="nil"/>
          <w:left w:val="nil"/>
          <w:bottom w:val="nil"/>
          <w:right w:val="nil"/>
          <w:between w:val="nil"/>
        </w:pBdr>
        <w:spacing w:before="9" w:after="0" w:line="240" w:lineRule="auto"/>
        <w:ind w:left="0"/>
        <w:jc w:val="center"/>
        <w:rPr>
          <w:color w:val="000000"/>
        </w:rPr>
      </w:pPr>
      <w:r>
        <w:rPr>
          <w:noProof/>
        </w:rPr>
        <w:drawing>
          <wp:inline distT="114300" distB="114300" distL="114300" distR="114300" wp14:anchorId="447F2227" wp14:editId="5C4E08B5">
            <wp:extent cx="3843338" cy="2981459"/>
            <wp:effectExtent l="0" t="0" r="0" b="0"/>
            <wp:docPr id="6657230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3843338" cy="2981459"/>
                    </a:xfrm>
                    <a:prstGeom prst="rect">
                      <a:avLst/>
                    </a:prstGeom>
                    <a:ln/>
                  </pic:spPr>
                </pic:pic>
              </a:graphicData>
            </a:graphic>
          </wp:inline>
        </w:drawing>
      </w:r>
    </w:p>
    <w:p w14:paraId="41A527BE" w14:textId="77777777" w:rsidR="004C6797" w:rsidRDefault="004C6797" w:rsidP="004C6797">
      <w:pPr>
        <w:widowControl w:val="0"/>
        <w:pBdr>
          <w:top w:val="nil"/>
          <w:left w:val="nil"/>
          <w:bottom w:val="nil"/>
          <w:right w:val="nil"/>
          <w:between w:val="nil"/>
        </w:pBdr>
        <w:spacing w:after="0" w:line="240" w:lineRule="auto"/>
        <w:ind w:left="720" w:right="138"/>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Figure 1. </w:t>
      </w:r>
      <w:r>
        <w:rPr>
          <w:rFonts w:ascii="Times New Roman" w:eastAsia="Times New Roman" w:hAnsi="Times New Roman" w:cs="Times New Roman"/>
          <w:sz w:val="20"/>
          <w:szCs w:val="20"/>
        </w:rPr>
        <w:t>The diagram of the UNHCR’s PRIMES system</w:t>
      </w:r>
    </w:p>
    <w:p w14:paraId="77F28235" w14:textId="77777777" w:rsidR="004C6797" w:rsidRDefault="004C6797" w:rsidP="004C6797">
      <w:pPr>
        <w:spacing w:line="242" w:lineRule="auto"/>
        <w:ind w:left="820"/>
        <w:jc w:val="center"/>
        <w:rPr>
          <w:b/>
          <w:sz w:val="20"/>
          <w:szCs w:val="20"/>
        </w:rPr>
      </w:pPr>
      <w:r>
        <w:rPr>
          <w:sz w:val="20"/>
          <w:szCs w:val="20"/>
        </w:rPr>
        <w:t>Source: UNHCR, “Planning and Preparing Registration and Identity Management Systems”</w:t>
      </w:r>
    </w:p>
    <w:p w14:paraId="2D7A1175" w14:textId="77777777" w:rsidR="004C6797" w:rsidRDefault="004C6797" w:rsidP="004C6797">
      <w:pPr>
        <w:widowControl w:val="0"/>
        <w:spacing w:before="51" w:after="0" w:line="240" w:lineRule="auto"/>
        <w:ind w:left="717" w:right="142" w:firstLine="619"/>
        <w:rPr>
          <w:b/>
          <w:sz w:val="20"/>
          <w:szCs w:val="20"/>
        </w:rPr>
      </w:pPr>
    </w:p>
    <w:p w14:paraId="3EFC860D"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The use of AI in immigration affairs has a clear range of benefits. First, an automated system that allows for easier identification of travelers effectively enables a more streamlined process, reducing the time required to verify identities accurately and eliminating the need for long wait times, accompanied by faster decisions. It also helps reduce significant strains on especially limited immigration caps by optimizing the allocation of resources to assist in applications and necessary aid, as well as to reduce potential cases of fraud. By having artificial intelligence, it also becomes easier to standardize the criteria for each prospective entrant, allowing for faster evaluations of visa and residency applications as well as automated identifications of potential security risks. Finally, AI’s capabilities in language translation and interpretation helps break language barriers that could inhibit productive interactions with foreign travelers, which not only allows for easier communications but also better integration among immigrants by matching their qualifications and providing them with adequate job opportunities.</w:t>
      </w:r>
    </w:p>
    <w:p w14:paraId="78AF84AD"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However, this does not eliminate the possibility of its misuse, which could lead to several far-reaching consequences. First, biases in training AI models can still happen, which could lead to a very narrow dataset that could be used in one-sided situations against immigrants; such models can only amplify present biases that persist among immigration authorities and could lead to discriminatory outcomes that are disadvantageous toward immigrants. This is also usually the result of a lack of any transparency, stemming from the limited knowledge or choice that most immigrants have during the collection of data. Second, the use of AI could implicate various privacy infringements, as such large datasets require the collection and analysis of sensitive personal information. Consequently, this could also be misused by authorities with malicious intent, such as targeted surveillance or even policies that deliberately put immigrants at a disadvantage. Third, while AI excels at applying datasets into a standardized mechanism to effectively control the flow of immigration, the lack of human control or authority could result in an outright neglect of various nuances. Human understanding – even empathy – has always been the backbone of the assessment of complicated cases, and is a driving factor in humanitarian efforts to aid disadvantaged migrants and refugees. An overreliance on objectivity over subjectivity could be counterproductive and may inversely result in further inefficiencies and injustices toward immigrants.</w:t>
      </w:r>
    </w:p>
    <w:p w14:paraId="0081C688" w14:textId="77777777" w:rsidR="004C6797" w:rsidRDefault="004C6797" w:rsidP="004C6797">
      <w:pPr>
        <w:spacing w:line="242" w:lineRule="auto"/>
        <w:ind w:left="820"/>
        <w:jc w:val="left"/>
        <w:rPr>
          <w:b/>
          <w:sz w:val="20"/>
          <w:szCs w:val="20"/>
        </w:rPr>
      </w:pPr>
    </w:p>
    <w:p w14:paraId="0DA9EF41" w14:textId="77777777" w:rsidR="004C6797" w:rsidRDefault="004C6797" w:rsidP="004C6797">
      <w:pPr>
        <w:spacing w:line="240" w:lineRule="auto"/>
        <w:ind w:left="717"/>
        <w:rPr>
          <w:rFonts w:ascii="Times New Roman" w:eastAsia="Times New Roman" w:hAnsi="Times New Roman" w:cs="Times New Roman"/>
          <w:b/>
          <w:sz w:val="20"/>
          <w:szCs w:val="20"/>
        </w:rPr>
      </w:pPr>
      <w:r>
        <w:rPr>
          <w:rFonts w:ascii="Times New Roman" w:eastAsia="Times New Roman" w:hAnsi="Times New Roman" w:cs="Times New Roman"/>
          <w:b/>
          <w:sz w:val="20"/>
          <w:szCs w:val="20"/>
        </w:rPr>
        <w:t>AI on Climate Change</w:t>
      </w:r>
    </w:p>
    <w:p w14:paraId="4B4C4BA8"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.The rise of artificial intelligence coincided with rising carbon emissions and greenhouse gases that have resulted in record-high temperatures in contemporary times. As a brief overview, there have been direct observations and empiric findings that allude to such changing conditions; global temperatures have increased about 1.55 degrees Celsius over pre-industrial levels, which has not only resulted in hotter weathers but also longer transitions to colder seasons, as notably seen in the months-long absence of snow atop Mount Fuji in Japan (World Meteorological Organization, 2025; Ewe, 2024). As a consequence of human actions, deforestation has also reached its highest rate, with over 6.4 million hectares of forests damaged in 2023 alone (Carrington, 2024). The alarming rate with which climate change is taking place has led to the international community scrambling to find definitive solutions, which culminated in the signing and ratification of the Paris Agreement by all of its parties in 2015. Despite this seemingly hopeful development, the agreement has yet to effectively reach its ultimate goal; no country has been able to reach their nationally determined contributions (NDCs) due to its lenient policies that essentially render it purely voluntary, and those that continue to comply have been needlessly criticized for not doing enough by leading signatories, often due to the lack of commitment or resources (Maizland, 2023). Its effectiveness has also been severely undermined by the United States’ withdrawal from the agreement in 2017 and again in 2025, which shows fundamental flaws in the agreement’s ability for binding provisions (Daly and Borenstein, 2025).</w:t>
      </w:r>
    </w:p>
    <w:p w14:paraId="48FF5677"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As such, technologies are now largely considered to be the most effective avenue of solutions against climate change, and artificial intelligence models primarily focused on combating climate change are no exceptions to this. In fact, applications of artificial intelligence are now widespread in private and national efforts to prevent further climate destruction. Technologies that involve the use of data algorithms are especially useful in creating models to predict climate patterns using existing data, which helps to improve the effectiveness of monitoring processes that are crucial to understanding the extent of such conditions. Predictive analytics also enable AI to model predictions for the patterns of natural disasters that stem from past records of environmental conditions, as well as to generate hypothetical scenarios to improve crisis management capabilities. In this regard, it has been able to competently assess both the efficiency and implementation of renewable energy systems, as well as the development of carbon markets that contribute to reductions in carbon emissions (Lewis, Toney &amp; Shi, 2024). AI systems have also been used in precision agriculture tools, such as drones and sensors, to reduce the use of water and optimize crop yields without imposing unnecessary damages toward the environment, as well as to identify more sustainable farming practices to ensure optimal efficiency. Finally, AI has been particularly helpful in the preservation of biodiversity through image recognition and tracking systems to monitor wildlife populations by identifying and tracking down each species, especially those that are endangered and vulnerable to further depopulation; this helps to ensure that conservationalists can identify potential risks and preserve certain ecosystems in a preventative manner (Reynolds et al, 2024).</w:t>
      </w:r>
    </w:p>
    <w:p w14:paraId="06A50114"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Currently, there have been considerable efforts both from state governments, intergovernmental organizations, and third parties to integrate AI’s potential into systems designed to curb the risks of climate change. Non-governmental organizations such as Climate TRACE have been using AI to improve the accuracy of analyses and estimations of global emissions. Climate TRACE alone has over 300 satellites and 11,000 sensors, along with AI algorithms, to establish clearer assessments of carbon emissions. Some of its measures include the use of satellites and sensors to gather data to be processed by AI algorithms, the fusion of similar datasets to estimate greenhouse gas emissions precisely, as well as the use of a public platform to ensure wide public access toward said data, contributing to well-informed decision-making processes for governments and organizations alike (Climate TRACE, n.d.)</w:t>
      </w:r>
    </w:p>
    <w:p w14:paraId="03271AAF"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Much like the last two aspects, and to the optimism of every party involved, AI’s implementation in climate change efforts have yielded significant benefits to the cause. Risk management can be improved significantly through accurate predictions of weather patterns through the collection of past records and natural disasters, as well as the generation of climate-related scenarios through GPTs or manual assessment to ensure that current climate efforts can be accommodated to address current issues. This, in turn, can lead to easier containment of climate-related threats by monitoring the effects of greenhouse gas emissions on the quality of air, water, and land, as well as to ensure that certain vulnerabilities can be addressed in advance. The data it yields and the sheer capabilities it offers also make it a particularly crucial addition to the drafting of international frameworks on climate change prevention, as the formulation of policies drifts further toward adherence to data accuracy; this ensures that such agreements are well-equipped with informed policies and to ensure that its parties can be adequately informed to make decisions pertaining to said frameworks, leading to improved coordination and more effective monitoring of the frameworks’ progress. Finally, its benefits on biodiversity can ensure that resources can be managed more efficiently by providing insights on energy consumption and water usage; it also allows for better agricultural practices by recommending potential courses of action and helps promote practices such as irrigation schedules for crops to ensure that water waste can be minimized.</w:t>
      </w:r>
    </w:p>
    <w:p w14:paraId="0E376AD1" w14:textId="77777777" w:rsidR="004C6797" w:rsidRDefault="004C6797" w:rsidP="004C6797">
      <w:pPr>
        <w:widowControl w:val="0"/>
        <w:spacing w:before="51" w:after="0" w:line="240" w:lineRule="auto"/>
        <w:ind w:left="717" w:right="142" w:firstLine="619"/>
        <w:rPr>
          <w:rFonts w:ascii="Times New Roman" w:eastAsia="Times New Roman" w:hAnsi="Times New Roman" w:cs="Times New Roman"/>
          <w:sz w:val="20"/>
          <w:szCs w:val="20"/>
        </w:rPr>
      </w:pPr>
      <w:r>
        <w:rPr>
          <w:rFonts w:ascii="Times New Roman" w:eastAsia="Times New Roman" w:hAnsi="Times New Roman" w:cs="Times New Roman"/>
          <w:sz w:val="20"/>
          <w:szCs w:val="20"/>
        </w:rPr>
        <w:t>However, it also has certain inverse effects that not only showcase its vulnerabilities, but could also be potentially damaging to the environment. First, despite its purported benefits, it still demands a significant amount of energy to compute and manage data, which could result in a higher carbon footprint; this is further exacerbated by the fact that AI often requires designated data centers that are energy-driven. These data centers are prone to higher carbon footprints due to the lack of any renewable energy sources, electronic waste such as mercury and lead, excessive use of water both during construction and under operational circumstances, as well as the consumption of limited resources such as rare earth elements. Additionally, the availability of the data used by AI can easily be limited due to its focus on remote or under-monitored areas, not to mention the potential risk of biased data that could result in distorted interpretations of effective measures to curb the effects of climate change; this can lead to both inaccurate predictions and recommendations, which could generate both misguided actions and distrust among relevant parties. In the same note, unequal access to data can result in a very disproportionate impact on particularly vulnerable communities, as AI might be driven by data gathered from wealthier areas as opposed to rural areas that are more vulnerable toward the climate change risks. Finally, over-reliance on AI could result in decisions overlooking social factors, as certain data could result in the reduction of emissions but risk displacing indigenous communities as a consequence (UN Environmental Programme, 2024).</w:t>
      </w:r>
    </w:p>
    <w:p w14:paraId="7F099317" w14:textId="77777777" w:rsidR="004C6797" w:rsidRDefault="004C6797" w:rsidP="004C6797">
      <w:pPr>
        <w:spacing w:line="242" w:lineRule="auto"/>
        <w:ind w:left="0"/>
        <w:jc w:val="left"/>
        <w:rPr>
          <w:b/>
          <w:sz w:val="20"/>
          <w:szCs w:val="20"/>
        </w:rPr>
      </w:pPr>
    </w:p>
    <w:p w14:paraId="2D5CCEEB" w14:textId="77777777" w:rsidR="004C6797" w:rsidRDefault="004C6797" w:rsidP="004C6797">
      <w:pPr>
        <w:numPr>
          <w:ilvl w:val="0"/>
          <w:numId w:val="13"/>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Conclusions</w:t>
      </w:r>
    </w:p>
    <w:p w14:paraId="5C7AE70F" w14:textId="77777777" w:rsidR="004C6797" w:rsidRDefault="004C6797" w:rsidP="004C6797">
      <w:pPr>
        <w:spacing w:after="0" w:line="240" w:lineRule="auto"/>
        <w:ind w:left="72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The use of AI can be beneficial in assessing global issues and bringing about solutions. Yet, there is a clear limit to the extent of its use. It can revolutionize how human society interacts with each other and how it solves crucial issues such as climate change and immigration laws, yet every benefit comes with an equally far-reaching consequence that may often seem too high of a price to pay; high efficiency in gathering and processing data requires too much energy and resources to consume, a standardized criteria in managing day-to-day affairs requires sacrificing subjectivity in favor of cold and calculated objectivity, and so forth. It requires a delicate balance of maximizing its utility while being wary of and anticipating its inevitable issues, prioritizing the benefits of AI in practice whilst mitigating its consequences on human society, as well as adjusting goals and methods used for said AI models. If human civilization is actively producing and utilizing a machine that is capable of conducting activities that are otherwise unthinkable by the standards of the average human mind, then it must also determine how it is used, who is using it, what it is used for, and why it must be used.</w:t>
      </w:r>
    </w:p>
    <w:p w14:paraId="71FF148C" w14:textId="77777777" w:rsidR="004C6797" w:rsidRDefault="004C6797" w:rsidP="004C6797">
      <w:pPr>
        <w:spacing w:after="0" w:line="240" w:lineRule="auto"/>
        <w:ind w:left="720" w:firstLine="720"/>
        <w:rPr>
          <w:rFonts w:ascii="Times New Roman" w:eastAsia="Times New Roman" w:hAnsi="Times New Roman" w:cs="Times New Roman"/>
          <w:sz w:val="20"/>
          <w:szCs w:val="20"/>
        </w:rPr>
      </w:pPr>
    </w:p>
    <w:p w14:paraId="61C4207D"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A key solution to resolving the implications of AI in global affairs lie in the effectiveness of responsible regulation. There remains a necessity for the international community to establish any standards whatsoever for the use of AI in every particular aspect. Therefore, it can leverage its capacity for international cooperation to formulate an international framework that regulates the use of AI, comprising global standards and agreements that ensure the responsible development and use of AI across borders, and prevent malicious exploitation of both its technological prowess and regulatory loopholes by criminals or rogue states. The international community could also establish domestic regulatory agencies, as has been the case for issues such as drug abuse and internet regulation, to ensure that AI applications are according to domestic ethical and legal standards, as well as to ensure that every misuse or felonies that stem from the use of AI can be penalized. A balance between strict limitations and progressive encouragement of AI must also be in place; applications such as GPTs or voice generators must be regulated to ensure that issues such as plagiarism or illegal deepfakes can be prevented, while governmental training and literacy programs toward AI can be implemented to improve further understanding and knowledge regarding both the beneficial and consequential uses of AI.</w:t>
      </w:r>
    </w:p>
    <w:p w14:paraId="3C1F4F53"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As such, artificial intelligence in International Relations can be a complicated and delicate manner. It is only reasonable that human society can be relieved in its capacity to develop a potentially revolutionary technology that can be used for good, yet it must be cautious in its reliance on said technologies, lest it wishes to yield a destructive outcome that threatens its stability and existence. Its potential evolution to artificial general intelligence, which could result in its surpassing of human intelligence, depends entirely on how it wishes to regulate and define the limits to which AI can operate. Therefore, governments and relevant parties alike must consider the delicate balance involved. Humanity must be able to revel on its capacity for ingenuity, however, it must apply restraint to ensure that it is not a doomed venture as it is often depicted.</w:t>
      </w:r>
    </w:p>
    <w:p w14:paraId="1832FCEB" w14:textId="77777777" w:rsidR="004C6797" w:rsidRDefault="004C6797" w:rsidP="004C6797">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0"/>
          <w:szCs w:val="20"/>
        </w:rPr>
      </w:pPr>
    </w:p>
    <w:p w14:paraId="771D8E12" w14:textId="77777777" w:rsidR="004C6797" w:rsidRDefault="004C6797" w:rsidP="004C6797">
      <w:pPr>
        <w:pBdr>
          <w:top w:val="nil"/>
          <w:left w:val="nil"/>
          <w:bottom w:val="nil"/>
          <w:right w:val="nil"/>
          <w:between w:val="nil"/>
        </w:pBdr>
        <w:spacing w:after="0" w:line="240" w:lineRule="auto"/>
        <w:ind w:left="717"/>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4"/>
          <w:szCs w:val="24"/>
        </w:rPr>
        <w:t xml:space="preserve">Reference </w:t>
      </w:r>
    </w:p>
    <w:p w14:paraId="43E04C6A"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Carrington, D. (2024). Deforestation ‘roaring back’ despite 140-country vow to end destruction. The Guardian. https://www.theguardian.com/environment/2024/oct/08/deforestation-destruction-demolition-beef-soy-palm-oil-nickel.</w:t>
      </w:r>
    </w:p>
    <w:p w14:paraId="0EE04C5D"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Climate TRACE (n.d.). Approach. https://climatetrace.org/approach.</w:t>
      </w:r>
    </w:p>
    <w:p w14:paraId="4DDE34B2"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Daly, M. &amp; Borenstein, S. (2025). Trump signs executive order directing US withdrawal from the Paris climate agreement — again. AP News. https://apnews.com/article/trump-paris-agreement-climate-change-788907bb89fe307a964be757313cdfb0.</w:t>
      </w:r>
    </w:p>
    <w:p w14:paraId="6098713F"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Ewe, K. (2024). Snow back on Mount Fuji after longest absence. BBC. https://www.bbc.com/news/articles/cvgw14gqenqo.</w:t>
      </w:r>
    </w:p>
    <w:p w14:paraId="533D5CE5"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 xml:space="preserve">Hamdi, M. A., Briando, B, &amp; Santiago, F. (2024). “The Role of Artificial Intelligence in Immigration Law Enforcement: Balancing Efficiency, Transparency, and Ethical Accountability.” </w:t>
      </w:r>
      <w:r w:rsidRPr="00A714D2">
        <w:rPr>
          <w:rFonts w:ascii="Times New Roman" w:eastAsia="Times New Roman" w:hAnsi="Times New Roman" w:cs="Times New Roman"/>
          <w:i/>
          <w:iCs/>
          <w:sz w:val="20"/>
          <w:szCs w:val="20"/>
        </w:rPr>
        <w:t>Journal of Multidisciplinary Sustainability Asean</w:t>
      </w:r>
      <w:r w:rsidRPr="00A714D2">
        <w:rPr>
          <w:rFonts w:ascii="Times New Roman" w:eastAsia="Times New Roman" w:hAnsi="Times New Roman" w:cs="Times New Roman"/>
          <w:sz w:val="20"/>
          <w:szCs w:val="20"/>
        </w:rPr>
        <w:t>, 1(6), pp. 376-385. https://doi.org/10.70177/ijmsa.v1i6.1835.</w:t>
      </w:r>
    </w:p>
    <w:p w14:paraId="7421A351"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 xml:space="preserve">Kabir, M. S., Sumi, E. J., &amp; Alam, M.N. (2023). “Artificial Intelligence (AI) and Future Immigration and Border Control.” </w:t>
      </w:r>
      <w:r w:rsidRPr="00A714D2">
        <w:rPr>
          <w:rFonts w:ascii="Times New Roman" w:eastAsia="Times New Roman" w:hAnsi="Times New Roman" w:cs="Times New Roman"/>
          <w:i/>
          <w:iCs/>
          <w:sz w:val="20"/>
          <w:szCs w:val="20"/>
        </w:rPr>
        <w:t>International Journal For Multidisciplinary Research</w:t>
      </w:r>
      <w:r w:rsidRPr="00A714D2">
        <w:rPr>
          <w:rFonts w:ascii="Times New Roman" w:eastAsia="Times New Roman" w:hAnsi="Times New Roman" w:cs="Times New Roman"/>
          <w:sz w:val="20"/>
          <w:szCs w:val="20"/>
        </w:rPr>
        <w:t xml:space="preserve">, 5(5), pp. 1-7. </w:t>
      </w:r>
      <w:r w:rsidRPr="00A714D2">
        <w:rPr>
          <w:rFonts w:ascii="Times New Roman" w:eastAsia="Times New Roman" w:hAnsi="Times New Roman" w:cs="Times New Roman"/>
          <w:sz w:val="20"/>
          <w:szCs w:val="20"/>
        </w:rPr>
        <w:tab/>
        <w:t>https://doi.org/10.36948/ijfmr.2023.v05i05.8253.</w:t>
      </w:r>
    </w:p>
    <w:p w14:paraId="49834A5E"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 xml:space="preserve">Konovalova, M. (2023). “AI and Diplomacy: Challenges and Opportunities.” </w:t>
      </w:r>
      <w:r w:rsidRPr="00A714D2">
        <w:rPr>
          <w:rFonts w:ascii="Times New Roman" w:eastAsia="Times New Roman" w:hAnsi="Times New Roman" w:cs="Times New Roman"/>
          <w:i/>
          <w:iCs/>
          <w:sz w:val="20"/>
          <w:szCs w:val="20"/>
        </w:rPr>
        <w:t>Journal of Liberty and International Affairs</w:t>
      </w:r>
      <w:r w:rsidRPr="00A714D2">
        <w:rPr>
          <w:rFonts w:ascii="Times New Roman" w:eastAsia="Times New Roman" w:hAnsi="Times New Roman" w:cs="Times New Roman"/>
          <w:sz w:val="20"/>
          <w:szCs w:val="20"/>
        </w:rPr>
        <w:t>, 9(2), pp. 520-530. https://doi.org/10.47305/JLIA2392520k.</w:t>
      </w:r>
    </w:p>
    <w:p w14:paraId="4CC8E060"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 xml:space="preserve">Lewis, J. I., Toney, A., &amp; Shi, X. (2024). “Climate change and artificial intelligence: assessing the global research landscape.” </w:t>
      </w:r>
      <w:r w:rsidRPr="00A714D2">
        <w:rPr>
          <w:rFonts w:ascii="Times New Roman" w:eastAsia="Times New Roman" w:hAnsi="Times New Roman" w:cs="Times New Roman"/>
          <w:i/>
          <w:iCs/>
          <w:sz w:val="20"/>
          <w:szCs w:val="20"/>
        </w:rPr>
        <w:t>Discover Artificial Intelligence</w:t>
      </w:r>
      <w:r w:rsidRPr="00A714D2">
        <w:rPr>
          <w:rFonts w:ascii="Times New Roman" w:eastAsia="Times New Roman" w:hAnsi="Times New Roman" w:cs="Times New Roman"/>
          <w:sz w:val="20"/>
          <w:szCs w:val="20"/>
        </w:rPr>
        <w:t>, 4(64). https://doi.org/10.1007/s44163-024-00170-z.</w:t>
      </w:r>
    </w:p>
    <w:p w14:paraId="51548FC0"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Maizland, L. (2023). Global Climate Agreements: Successes and Failures. Council on Foreign Relations. https://www.cfr.org/backgrounder/paris-global-climate-change-agreements.</w:t>
      </w:r>
    </w:p>
    <w:p w14:paraId="341BA087"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Midfa, N. A. (2024). Artificial Intelligence in Diplomacy: Transforming Global Relations and Negotiations. Trends Research and Advisory. https://trendsresearch.org/insight/artificial-intelligence-in-diplomacy-transforming-global-relations-and-negotiations.</w:t>
      </w:r>
    </w:p>
    <w:p w14:paraId="22EA247A"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Reynolds, S. A., et al. (2024). “The potential for AI to revolutionize conservation: a horizon scan.” Trends in Ecology &amp; Evolution, pp. 1-17. https://doi.org/10.1016/j.tree.2024.11.013.</w:t>
      </w:r>
    </w:p>
    <w:p w14:paraId="0B861019"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UN Environment Programme. (2024). AI has an environmental problem. Here’s what the world can do about that. https://www.unep.org/news-and-stories/story/ai-has-environmental-problem-heres-what-world-can-do-about.</w:t>
      </w:r>
    </w:p>
    <w:p w14:paraId="31245644"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UNHCR. (n.d.). Registration tools. In Planning and Preparing Registration and Identity Management Systems. https://www.unhcr.org/registration-guidance/chapter3/registration-tools.</w:t>
      </w:r>
    </w:p>
    <w:p w14:paraId="5A0E379B" w14:textId="77777777" w:rsidR="004C6797" w:rsidRPr="00A714D2" w:rsidRDefault="004C6797" w:rsidP="004C6797">
      <w:pPr>
        <w:spacing w:after="0"/>
        <w:ind w:left="1276" w:hanging="578"/>
        <w:rPr>
          <w:rFonts w:ascii="Times New Roman" w:eastAsia="Times New Roman" w:hAnsi="Times New Roman" w:cs="Times New Roman"/>
          <w:sz w:val="20"/>
          <w:szCs w:val="20"/>
        </w:rPr>
      </w:pPr>
      <w:r w:rsidRPr="00A714D2">
        <w:rPr>
          <w:rFonts w:ascii="Times New Roman" w:eastAsia="Times New Roman" w:hAnsi="Times New Roman" w:cs="Times New Roman"/>
          <w:sz w:val="20"/>
          <w:szCs w:val="20"/>
        </w:rPr>
        <w:t>World Meteorological Organization. (2025). WMO confirms 2024 as warmest year on record at about 1.55°C above pre-industrial level. https://wmo.int/news/media-centre/wmo-confirms-2024-warmest-year-record-about-155degc-above-pre-industrial-level.</w:t>
      </w:r>
    </w:p>
    <w:p w14:paraId="6E782B65" w14:textId="77777777" w:rsidR="004C6797" w:rsidRDefault="004C6797" w:rsidP="004C6797">
      <w:pPr>
        <w:pBdr>
          <w:top w:val="nil"/>
          <w:left w:val="nil"/>
          <w:bottom w:val="nil"/>
          <w:right w:val="nil"/>
          <w:between w:val="nil"/>
        </w:pBdr>
        <w:spacing w:after="0"/>
        <w:ind w:left="1276" w:hanging="578"/>
        <w:rPr>
          <w:rFonts w:ascii="Times New Roman" w:eastAsia="Times New Roman" w:hAnsi="Times New Roman" w:cs="Times New Roman"/>
          <w:sz w:val="18"/>
          <w:szCs w:val="18"/>
        </w:rPr>
      </w:pPr>
    </w:p>
    <w:p w14:paraId="1325A5B9" w14:textId="77777777" w:rsidR="004C6797" w:rsidRDefault="004C6797" w:rsidP="004C6797">
      <w:pPr>
        <w:pBdr>
          <w:top w:val="nil"/>
          <w:left w:val="nil"/>
          <w:bottom w:val="nil"/>
          <w:right w:val="nil"/>
          <w:between w:val="nil"/>
        </w:pBdr>
        <w:spacing w:after="0"/>
        <w:ind w:left="1276" w:hanging="578"/>
        <w:rPr>
          <w:rFonts w:ascii="Times New Roman" w:eastAsia="Times New Roman" w:hAnsi="Times New Roman" w:cs="Times New Roman"/>
          <w:sz w:val="18"/>
          <w:szCs w:val="18"/>
        </w:rPr>
      </w:pPr>
    </w:p>
    <w:p w14:paraId="26537091" w14:textId="77777777" w:rsidR="004C6797" w:rsidRDefault="004C6797" w:rsidP="004C6797">
      <w:pPr>
        <w:spacing w:after="0"/>
        <w:ind w:left="1276" w:hanging="578"/>
        <w:rPr>
          <w:rFonts w:ascii="Times New Roman" w:eastAsia="Times New Roman" w:hAnsi="Times New Roman" w:cs="Times New Roman"/>
          <w:sz w:val="18"/>
          <w:szCs w:val="18"/>
        </w:rPr>
      </w:pPr>
    </w:p>
    <w:p w14:paraId="6A1233A7" w14:textId="77777777" w:rsidR="004C6797" w:rsidRDefault="004C6797" w:rsidP="004C6797">
      <w:pPr>
        <w:pBdr>
          <w:top w:val="nil"/>
          <w:left w:val="nil"/>
          <w:bottom w:val="nil"/>
          <w:right w:val="nil"/>
          <w:between w:val="nil"/>
        </w:pBdr>
        <w:spacing w:after="0"/>
        <w:ind w:left="1276" w:hanging="578"/>
        <w:rPr>
          <w:rFonts w:ascii="Times New Roman" w:eastAsia="Times New Roman" w:hAnsi="Times New Roman" w:cs="Times New Roman"/>
          <w:sz w:val="18"/>
          <w:szCs w:val="18"/>
        </w:rPr>
      </w:pPr>
    </w:p>
    <w:p w14:paraId="57548AB9" w14:textId="77777777" w:rsidR="004C6797" w:rsidRDefault="004C6797" w:rsidP="004C6797">
      <w:pPr>
        <w:spacing w:after="0"/>
        <w:ind w:left="1276" w:hanging="578"/>
        <w:rPr>
          <w:rFonts w:ascii="Times New Roman" w:eastAsia="Times New Roman" w:hAnsi="Times New Roman" w:cs="Times New Roman"/>
          <w:sz w:val="18"/>
          <w:szCs w:val="18"/>
        </w:rPr>
      </w:pPr>
    </w:p>
    <w:p w14:paraId="615ABB1D" w14:textId="77777777" w:rsidR="004C6797" w:rsidRDefault="004C6797" w:rsidP="004C6797">
      <w:pPr>
        <w:pBdr>
          <w:top w:val="nil"/>
          <w:left w:val="nil"/>
          <w:bottom w:val="nil"/>
          <w:right w:val="nil"/>
          <w:between w:val="nil"/>
        </w:pBdr>
        <w:spacing w:after="0"/>
        <w:ind w:left="1276" w:hanging="578"/>
        <w:rPr>
          <w:rFonts w:ascii="Times New Roman" w:eastAsia="Times New Roman" w:hAnsi="Times New Roman" w:cs="Times New Roman"/>
          <w:sz w:val="18"/>
          <w:szCs w:val="18"/>
        </w:rPr>
      </w:pPr>
    </w:p>
    <w:p w14:paraId="70C9348E" w14:textId="77777777" w:rsidR="004C6797" w:rsidRDefault="004C6797" w:rsidP="004C6797">
      <w:pPr>
        <w:pBdr>
          <w:top w:val="nil"/>
          <w:left w:val="nil"/>
          <w:bottom w:val="nil"/>
          <w:right w:val="nil"/>
          <w:between w:val="nil"/>
        </w:pBdr>
        <w:spacing w:after="0"/>
        <w:ind w:left="1276" w:hanging="578"/>
        <w:rPr>
          <w:rFonts w:ascii="Times New Roman" w:eastAsia="Times New Roman" w:hAnsi="Times New Roman" w:cs="Times New Roman"/>
          <w:sz w:val="18"/>
          <w:szCs w:val="18"/>
        </w:rPr>
      </w:pPr>
    </w:p>
    <w:p w14:paraId="71F21070" w14:textId="77777777" w:rsidR="004C6797" w:rsidRDefault="004C6797" w:rsidP="004C6797">
      <w:pPr>
        <w:pBdr>
          <w:top w:val="nil"/>
          <w:left w:val="nil"/>
          <w:bottom w:val="nil"/>
          <w:right w:val="nil"/>
          <w:between w:val="nil"/>
        </w:pBdr>
        <w:spacing w:line="240" w:lineRule="auto"/>
        <w:ind w:left="1276"/>
        <w:rPr>
          <w:rFonts w:ascii="Times New Roman" w:eastAsia="Times New Roman" w:hAnsi="Times New Roman" w:cs="Times New Roman"/>
          <w:color w:val="000000"/>
          <w:sz w:val="18"/>
          <w:szCs w:val="18"/>
        </w:rPr>
      </w:pPr>
    </w:p>
    <w:p w14:paraId="6E6D8568" w14:textId="77777777" w:rsidR="004C6797" w:rsidRPr="003C626F" w:rsidRDefault="004C6797" w:rsidP="004C6797">
      <w:pPr>
        <w:rPr>
          <w:sz w:val="32"/>
          <w:szCs w:val="24"/>
          <w:lang w:val="en-US"/>
        </w:rPr>
      </w:pPr>
      <w:r>
        <w:rPr>
          <w:sz w:val="32"/>
        </w:rPr>
        <w:br w:type="page"/>
      </w:r>
    </w:p>
    <w:p w14:paraId="7AA3D632" w14:textId="77777777" w:rsidR="004C6797" w:rsidRPr="003C626F" w:rsidRDefault="004C6797" w:rsidP="004C6797">
      <w:pPr>
        <w:pStyle w:val="Heading1"/>
      </w:pPr>
      <w:bookmarkStart w:id="4" w:name="_Toc197537591"/>
      <w:r w:rsidRPr="003C626F">
        <w:t>AI</w:t>
      </w:r>
      <w:r w:rsidRPr="003C626F">
        <w:rPr>
          <w:spacing w:val="-13"/>
        </w:rPr>
        <w:t xml:space="preserve"> </w:t>
      </w:r>
      <w:r w:rsidRPr="003C626F">
        <w:t>and</w:t>
      </w:r>
      <w:r w:rsidRPr="003C626F">
        <w:rPr>
          <w:spacing w:val="-13"/>
        </w:rPr>
        <w:t xml:space="preserve"> </w:t>
      </w:r>
      <w:r w:rsidRPr="003C626F">
        <w:t>Public</w:t>
      </w:r>
      <w:r w:rsidRPr="003C626F">
        <w:rPr>
          <w:spacing w:val="-9"/>
        </w:rPr>
        <w:t xml:space="preserve"> </w:t>
      </w:r>
      <w:r w:rsidRPr="003C626F">
        <w:t>Policy</w:t>
      </w:r>
      <w:r w:rsidRPr="003C626F">
        <w:rPr>
          <w:spacing w:val="-10"/>
        </w:rPr>
        <w:t xml:space="preserve"> </w:t>
      </w:r>
      <w:r w:rsidRPr="003C626F">
        <w:t>Process:</w:t>
      </w:r>
      <w:r w:rsidRPr="003C626F">
        <w:rPr>
          <w:spacing w:val="-14"/>
        </w:rPr>
        <w:t xml:space="preserve"> </w:t>
      </w:r>
      <w:r w:rsidRPr="003C626F">
        <w:t>Between</w:t>
      </w:r>
      <w:r w:rsidRPr="003C626F">
        <w:rPr>
          <w:spacing w:val="-12"/>
        </w:rPr>
        <w:t xml:space="preserve"> </w:t>
      </w:r>
      <w:r w:rsidRPr="003C626F">
        <w:t>Efficiency and Ethical Challenges</w:t>
      </w:r>
      <w:bookmarkEnd w:id="4"/>
    </w:p>
    <w:p w14:paraId="7A5D4042" w14:textId="77777777" w:rsidR="004C6797" w:rsidRPr="006701AC" w:rsidRDefault="004C6797" w:rsidP="004C6797">
      <w:pPr>
        <w:pStyle w:val="Heading2"/>
        <w:rPr>
          <w:position w:val="8"/>
          <w:lang w:val="en-ID"/>
        </w:rPr>
      </w:pPr>
      <w:bookmarkStart w:id="5" w:name="_Toc197537592"/>
      <w:r w:rsidRPr="006701AC">
        <w:rPr>
          <w:lang w:val="en-ID"/>
        </w:rPr>
        <w:t>Andi</w:t>
      </w:r>
      <w:r w:rsidRPr="006701AC">
        <w:rPr>
          <w:spacing w:val="-9"/>
          <w:lang w:val="en-ID"/>
        </w:rPr>
        <w:t xml:space="preserve"> </w:t>
      </w:r>
      <w:r w:rsidRPr="006701AC">
        <w:rPr>
          <w:lang w:val="en-ID"/>
        </w:rPr>
        <w:t>Muhammad</w:t>
      </w:r>
      <w:r w:rsidRPr="006701AC">
        <w:rPr>
          <w:spacing w:val="-2"/>
          <w:lang w:val="en-ID"/>
        </w:rPr>
        <w:t xml:space="preserve"> </w:t>
      </w:r>
      <w:r w:rsidRPr="006701AC">
        <w:rPr>
          <w:lang w:val="en-ID"/>
        </w:rPr>
        <w:t>Farid</w:t>
      </w:r>
      <w:r w:rsidRPr="006701AC">
        <w:rPr>
          <w:spacing w:val="-2"/>
          <w:lang w:val="en-ID"/>
        </w:rPr>
        <w:t xml:space="preserve"> </w:t>
      </w:r>
      <w:r w:rsidRPr="006701AC">
        <w:rPr>
          <w:lang w:val="en-ID"/>
        </w:rPr>
        <w:t>Fausan</w:t>
      </w:r>
      <w:r w:rsidRPr="006701AC">
        <w:rPr>
          <w:spacing w:val="-3"/>
          <w:lang w:val="en-ID"/>
        </w:rPr>
        <w:t xml:space="preserve"> </w:t>
      </w:r>
      <w:r w:rsidRPr="006701AC">
        <w:rPr>
          <w:lang w:val="en-ID"/>
        </w:rPr>
        <w:t>Bate</w:t>
      </w:r>
      <w:r w:rsidRPr="006701AC">
        <w:rPr>
          <w:position w:val="8"/>
          <w:sz w:val="18"/>
          <w:szCs w:val="18"/>
          <w:lang w:val="en-ID"/>
        </w:rPr>
        <w:t>1</w:t>
      </w:r>
      <w:r w:rsidRPr="006701AC">
        <w:rPr>
          <w:lang w:val="en-ID"/>
        </w:rPr>
        <w:t>,</w:t>
      </w:r>
      <w:r w:rsidRPr="006701AC">
        <w:rPr>
          <w:spacing w:val="-4"/>
          <w:lang w:val="en-ID"/>
        </w:rPr>
        <w:t xml:space="preserve"> </w:t>
      </w:r>
      <w:r w:rsidRPr="006701AC">
        <w:rPr>
          <w:lang w:val="en-ID"/>
        </w:rPr>
        <w:t>Andi</w:t>
      </w:r>
      <w:r w:rsidRPr="006701AC">
        <w:rPr>
          <w:spacing w:val="-3"/>
          <w:lang w:val="en-ID"/>
        </w:rPr>
        <w:t xml:space="preserve"> </w:t>
      </w:r>
      <w:r w:rsidRPr="006701AC">
        <w:rPr>
          <w:lang w:val="en-ID"/>
        </w:rPr>
        <w:t>Pajolloi</w:t>
      </w:r>
      <w:r w:rsidRPr="006701AC">
        <w:rPr>
          <w:spacing w:val="-1"/>
          <w:lang w:val="en-ID"/>
        </w:rPr>
        <w:t xml:space="preserve"> </w:t>
      </w:r>
      <w:r w:rsidRPr="006701AC">
        <w:rPr>
          <w:spacing w:val="-2"/>
          <w:lang w:val="en-ID"/>
        </w:rPr>
        <w:t>Bate</w:t>
      </w:r>
      <w:r w:rsidRPr="006701AC">
        <w:rPr>
          <w:spacing w:val="-2"/>
          <w:position w:val="8"/>
          <w:sz w:val="18"/>
          <w:szCs w:val="18"/>
          <w:lang w:val="en-ID"/>
        </w:rPr>
        <w:t>2</w:t>
      </w:r>
      <w:bookmarkEnd w:id="5"/>
    </w:p>
    <w:p w14:paraId="66772D2B" w14:textId="77777777" w:rsidR="004C6797" w:rsidRPr="003C626F" w:rsidRDefault="004C6797" w:rsidP="004C6797">
      <w:pPr>
        <w:pStyle w:val="BodyText"/>
        <w:spacing w:before="4"/>
        <w:ind w:left="851" w:right="521"/>
        <w:rPr>
          <w:rFonts w:ascii="Times New Roman" w:hAnsi="Times New Roman" w:cs="Times New Roman"/>
          <w:b/>
        </w:rPr>
      </w:pPr>
    </w:p>
    <w:p w14:paraId="050CBAF1" w14:textId="77777777" w:rsidR="004C6797" w:rsidRPr="003C626F" w:rsidRDefault="004C6797" w:rsidP="004C6797">
      <w:pPr>
        <w:pStyle w:val="BodyText"/>
        <w:ind w:left="851" w:right="521"/>
        <w:jc w:val="center"/>
        <w:rPr>
          <w:rFonts w:ascii="Times New Roman" w:hAnsi="Times New Roman" w:cs="Times New Roman"/>
        </w:rPr>
      </w:pPr>
      <w:r w:rsidRPr="003C626F">
        <w:rPr>
          <w:rFonts w:ascii="Times New Roman" w:hAnsi="Times New Roman" w:cs="Times New Roman"/>
          <w:vertAlign w:val="superscript"/>
        </w:rPr>
        <w:t>1</w:t>
      </w:r>
      <w:r w:rsidRPr="003C626F">
        <w:rPr>
          <w:rFonts w:ascii="Times New Roman" w:hAnsi="Times New Roman" w:cs="Times New Roman"/>
        </w:rPr>
        <w:t>Political</w:t>
      </w:r>
      <w:r w:rsidRPr="003C626F">
        <w:rPr>
          <w:rFonts w:ascii="Times New Roman" w:hAnsi="Times New Roman" w:cs="Times New Roman"/>
          <w:spacing w:val="-8"/>
        </w:rPr>
        <w:t xml:space="preserve"> </w:t>
      </w:r>
      <w:r w:rsidRPr="003C626F">
        <w:rPr>
          <w:rFonts w:ascii="Times New Roman" w:hAnsi="Times New Roman" w:cs="Times New Roman"/>
        </w:rPr>
        <w:t>Science</w:t>
      </w:r>
      <w:r w:rsidRPr="003C626F">
        <w:rPr>
          <w:rFonts w:ascii="Times New Roman" w:hAnsi="Times New Roman" w:cs="Times New Roman"/>
          <w:spacing w:val="-8"/>
        </w:rPr>
        <w:t xml:space="preserve"> </w:t>
      </w:r>
      <w:r w:rsidRPr="003C626F">
        <w:rPr>
          <w:rFonts w:ascii="Times New Roman" w:hAnsi="Times New Roman" w:cs="Times New Roman"/>
        </w:rPr>
        <w:t>and</w:t>
      </w:r>
      <w:r w:rsidRPr="003C626F">
        <w:rPr>
          <w:rFonts w:ascii="Times New Roman" w:hAnsi="Times New Roman" w:cs="Times New Roman"/>
          <w:spacing w:val="-5"/>
        </w:rPr>
        <w:t xml:space="preserve"> </w:t>
      </w:r>
      <w:r w:rsidRPr="003C626F">
        <w:rPr>
          <w:rFonts w:ascii="Times New Roman" w:hAnsi="Times New Roman" w:cs="Times New Roman"/>
        </w:rPr>
        <w:t>Public</w:t>
      </w:r>
      <w:r w:rsidRPr="003C626F">
        <w:rPr>
          <w:rFonts w:ascii="Times New Roman" w:hAnsi="Times New Roman" w:cs="Times New Roman"/>
          <w:spacing w:val="-8"/>
        </w:rPr>
        <w:t xml:space="preserve"> </w:t>
      </w:r>
      <w:r w:rsidRPr="003C626F">
        <w:rPr>
          <w:rFonts w:ascii="Times New Roman" w:hAnsi="Times New Roman" w:cs="Times New Roman"/>
        </w:rPr>
        <w:t>Administration,</w:t>
      </w:r>
      <w:r w:rsidRPr="003C626F">
        <w:rPr>
          <w:rFonts w:ascii="Times New Roman" w:hAnsi="Times New Roman" w:cs="Times New Roman"/>
          <w:spacing w:val="-4"/>
        </w:rPr>
        <w:t xml:space="preserve"> </w:t>
      </w:r>
      <w:r w:rsidRPr="003C626F">
        <w:rPr>
          <w:rFonts w:ascii="Times New Roman" w:hAnsi="Times New Roman" w:cs="Times New Roman"/>
        </w:rPr>
        <w:t>Faculty</w:t>
      </w:r>
      <w:r w:rsidRPr="003C626F">
        <w:rPr>
          <w:rFonts w:ascii="Times New Roman" w:hAnsi="Times New Roman" w:cs="Times New Roman"/>
          <w:spacing w:val="-8"/>
        </w:rPr>
        <w:t xml:space="preserve"> </w:t>
      </w:r>
      <w:r w:rsidRPr="003C626F">
        <w:rPr>
          <w:rFonts w:ascii="Times New Roman" w:hAnsi="Times New Roman" w:cs="Times New Roman"/>
        </w:rPr>
        <w:t>of</w:t>
      </w:r>
      <w:r w:rsidRPr="003C626F">
        <w:rPr>
          <w:rFonts w:ascii="Times New Roman" w:hAnsi="Times New Roman" w:cs="Times New Roman"/>
          <w:spacing w:val="-10"/>
        </w:rPr>
        <w:t xml:space="preserve"> </w:t>
      </w:r>
      <w:r w:rsidRPr="003C626F">
        <w:rPr>
          <w:rFonts w:ascii="Times New Roman" w:hAnsi="Times New Roman" w:cs="Times New Roman"/>
        </w:rPr>
        <w:t>Political</w:t>
      </w:r>
      <w:r w:rsidRPr="003C626F">
        <w:rPr>
          <w:rFonts w:ascii="Times New Roman" w:hAnsi="Times New Roman" w:cs="Times New Roman"/>
          <w:spacing w:val="-8"/>
        </w:rPr>
        <w:t xml:space="preserve"> </w:t>
      </w:r>
      <w:r w:rsidRPr="003C626F">
        <w:rPr>
          <w:rFonts w:ascii="Times New Roman" w:hAnsi="Times New Roman" w:cs="Times New Roman"/>
        </w:rPr>
        <w:t>Science,</w:t>
      </w:r>
      <w:r w:rsidRPr="003C626F">
        <w:rPr>
          <w:rFonts w:ascii="Times New Roman" w:hAnsi="Times New Roman" w:cs="Times New Roman"/>
          <w:spacing w:val="-5"/>
        </w:rPr>
        <w:t xml:space="preserve"> </w:t>
      </w:r>
      <w:r w:rsidRPr="003C626F">
        <w:rPr>
          <w:rFonts w:ascii="Times New Roman" w:hAnsi="Times New Roman" w:cs="Times New Roman"/>
        </w:rPr>
        <w:t xml:space="preserve">Sakarya University, Sakarya, </w:t>
      </w:r>
      <w:proofErr w:type="spellStart"/>
      <w:r w:rsidRPr="003C626F">
        <w:rPr>
          <w:rFonts w:ascii="Times New Roman" w:hAnsi="Times New Roman" w:cs="Times New Roman"/>
        </w:rPr>
        <w:t>Turkiye</w:t>
      </w:r>
      <w:proofErr w:type="spellEnd"/>
    </w:p>
    <w:p w14:paraId="546C6DBE" w14:textId="77777777" w:rsidR="004C6797" w:rsidRPr="003C626F" w:rsidRDefault="004C6797" w:rsidP="004C6797">
      <w:pPr>
        <w:pStyle w:val="BodyText"/>
        <w:spacing w:before="1"/>
        <w:ind w:left="851" w:right="521"/>
        <w:jc w:val="center"/>
        <w:rPr>
          <w:rFonts w:ascii="Times New Roman" w:hAnsi="Times New Roman" w:cs="Times New Roman"/>
        </w:rPr>
      </w:pPr>
      <w:hyperlink r:id="rId18">
        <w:r w:rsidRPr="003C626F">
          <w:rPr>
            <w:rFonts w:ascii="Times New Roman" w:hAnsi="Times New Roman" w:cs="Times New Roman"/>
            <w:spacing w:val="-2"/>
          </w:rPr>
          <w:t>faridfausan@gmail.com</w:t>
        </w:r>
      </w:hyperlink>
    </w:p>
    <w:p w14:paraId="5EBAE2B8" w14:textId="77777777" w:rsidR="004C6797" w:rsidRPr="003C626F" w:rsidRDefault="004C6797" w:rsidP="004C6797">
      <w:pPr>
        <w:pStyle w:val="BodyText"/>
        <w:spacing w:before="229"/>
        <w:ind w:left="851" w:right="521"/>
        <w:jc w:val="center"/>
        <w:rPr>
          <w:rFonts w:ascii="Times New Roman" w:hAnsi="Times New Roman" w:cs="Times New Roman"/>
        </w:rPr>
      </w:pPr>
      <w:r w:rsidRPr="003C626F">
        <w:rPr>
          <w:rFonts w:ascii="Times New Roman" w:hAnsi="Times New Roman" w:cs="Times New Roman"/>
          <w:spacing w:val="-2"/>
          <w:vertAlign w:val="superscript"/>
        </w:rPr>
        <w:t>2</w:t>
      </w:r>
      <w:r w:rsidRPr="003C626F">
        <w:rPr>
          <w:rFonts w:ascii="Times New Roman" w:hAnsi="Times New Roman" w:cs="Times New Roman"/>
          <w:spacing w:val="-2"/>
        </w:rPr>
        <w:t>Faculty</w:t>
      </w:r>
      <w:r w:rsidRPr="003C626F">
        <w:rPr>
          <w:rFonts w:ascii="Times New Roman" w:hAnsi="Times New Roman" w:cs="Times New Roman"/>
          <w:spacing w:val="-3"/>
        </w:rPr>
        <w:t xml:space="preserve"> </w:t>
      </w:r>
      <w:r w:rsidRPr="003C626F">
        <w:rPr>
          <w:rFonts w:ascii="Times New Roman" w:hAnsi="Times New Roman" w:cs="Times New Roman"/>
          <w:spacing w:val="-2"/>
        </w:rPr>
        <w:t>of</w:t>
      </w:r>
      <w:r w:rsidRPr="003C626F">
        <w:rPr>
          <w:rFonts w:ascii="Times New Roman" w:hAnsi="Times New Roman" w:cs="Times New Roman"/>
          <w:spacing w:val="-5"/>
        </w:rPr>
        <w:t xml:space="preserve"> </w:t>
      </w:r>
      <w:r w:rsidRPr="003C626F">
        <w:rPr>
          <w:rFonts w:ascii="Times New Roman" w:hAnsi="Times New Roman" w:cs="Times New Roman"/>
          <w:spacing w:val="-2"/>
        </w:rPr>
        <w:t>Communication</w:t>
      </w:r>
      <w:r w:rsidRPr="003C626F">
        <w:rPr>
          <w:rFonts w:ascii="Times New Roman" w:hAnsi="Times New Roman" w:cs="Times New Roman"/>
          <w:spacing w:val="2"/>
        </w:rPr>
        <w:t xml:space="preserve"> </w:t>
      </w:r>
      <w:r w:rsidRPr="003C626F">
        <w:rPr>
          <w:rFonts w:ascii="Times New Roman" w:hAnsi="Times New Roman" w:cs="Times New Roman"/>
          <w:spacing w:val="-2"/>
        </w:rPr>
        <w:t>Science,</w:t>
      </w:r>
      <w:r w:rsidRPr="003C626F">
        <w:rPr>
          <w:rFonts w:ascii="Times New Roman" w:hAnsi="Times New Roman" w:cs="Times New Roman"/>
          <w:spacing w:val="-5"/>
        </w:rPr>
        <w:t xml:space="preserve"> </w:t>
      </w:r>
      <w:r w:rsidRPr="003C626F">
        <w:rPr>
          <w:rFonts w:ascii="Times New Roman" w:hAnsi="Times New Roman" w:cs="Times New Roman"/>
          <w:spacing w:val="-2"/>
        </w:rPr>
        <w:t>Universitas</w:t>
      </w:r>
      <w:r w:rsidRPr="003C626F">
        <w:rPr>
          <w:rFonts w:ascii="Times New Roman" w:hAnsi="Times New Roman" w:cs="Times New Roman"/>
          <w:spacing w:val="-9"/>
        </w:rPr>
        <w:t xml:space="preserve"> </w:t>
      </w:r>
      <w:proofErr w:type="spellStart"/>
      <w:r w:rsidRPr="003C626F">
        <w:rPr>
          <w:rFonts w:ascii="Times New Roman" w:hAnsi="Times New Roman" w:cs="Times New Roman"/>
          <w:spacing w:val="-2"/>
        </w:rPr>
        <w:t>Mercu</w:t>
      </w:r>
      <w:proofErr w:type="spellEnd"/>
      <w:r w:rsidRPr="003C626F">
        <w:rPr>
          <w:rFonts w:ascii="Times New Roman" w:hAnsi="Times New Roman" w:cs="Times New Roman"/>
          <w:spacing w:val="-6"/>
        </w:rPr>
        <w:t xml:space="preserve"> </w:t>
      </w:r>
      <w:r w:rsidRPr="003C626F">
        <w:rPr>
          <w:rFonts w:ascii="Times New Roman" w:hAnsi="Times New Roman" w:cs="Times New Roman"/>
          <w:spacing w:val="-2"/>
        </w:rPr>
        <w:t>Buana,</w:t>
      </w:r>
    </w:p>
    <w:p w14:paraId="42989EBC" w14:textId="77777777" w:rsidR="004C6797" w:rsidRPr="00124A54" w:rsidRDefault="004C6797" w:rsidP="004C6797">
      <w:pPr>
        <w:pStyle w:val="BodyText"/>
        <w:spacing w:before="3"/>
        <w:ind w:left="851" w:right="521" w:firstLine="78"/>
        <w:jc w:val="center"/>
        <w:rPr>
          <w:rFonts w:ascii="Times New Roman" w:hAnsi="Times New Roman" w:cs="Times New Roman"/>
          <w:lang w:val="sv-SE"/>
        </w:rPr>
      </w:pPr>
      <w:r w:rsidRPr="00124A54">
        <w:rPr>
          <w:rFonts w:ascii="Times New Roman" w:hAnsi="Times New Roman" w:cs="Times New Roman"/>
          <w:lang w:val="sv-SE"/>
        </w:rPr>
        <w:t xml:space="preserve">Jakarta, Indonesia </w:t>
      </w:r>
      <w:hyperlink r:id="rId19">
        <w:r w:rsidRPr="00124A54">
          <w:rPr>
            <w:rFonts w:ascii="Times New Roman" w:hAnsi="Times New Roman" w:cs="Times New Roman"/>
            <w:spacing w:val="-2"/>
            <w:lang w:val="sv-SE"/>
          </w:rPr>
          <w:t>andi.pajolloi@mercubuana.ac.id</w:t>
        </w:r>
      </w:hyperlink>
    </w:p>
    <w:p w14:paraId="740E6FBB" w14:textId="77777777" w:rsidR="004C6797" w:rsidRPr="00124A54" w:rsidRDefault="004C6797" w:rsidP="004C6797">
      <w:pPr>
        <w:pStyle w:val="BodyText"/>
        <w:ind w:left="851" w:right="521"/>
        <w:rPr>
          <w:rFonts w:ascii="Times New Roman" w:hAnsi="Times New Roman" w:cs="Times New Roman"/>
          <w:lang w:val="sv-SE"/>
        </w:rPr>
      </w:pPr>
    </w:p>
    <w:p w14:paraId="68E1462D" w14:textId="77777777" w:rsidR="004C6797" w:rsidRPr="00124A54" w:rsidRDefault="004C6797" w:rsidP="004C6797">
      <w:pPr>
        <w:pStyle w:val="BodyText"/>
        <w:ind w:left="851" w:right="521"/>
        <w:rPr>
          <w:rFonts w:ascii="Times New Roman" w:hAnsi="Times New Roman" w:cs="Times New Roman"/>
          <w:lang w:val="sv-SE"/>
        </w:rPr>
      </w:pPr>
    </w:p>
    <w:p w14:paraId="254E2642" w14:textId="77777777" w:rsidR="004C6797" w:rsidRPr="003C626F" w:rsidRDefault="004C6797" w:rsidP="004C6797">
      <w:pPr>
        <w:ind w:left="851" w:right="521"/>
        <w:jc w:val="center"/>
        <w:rPr>
          <w:rFonts w:ascii="Times New Roman" w:hAnsi="Times New Roman" w:cs="Times New Roman"/>
        </w:rPr>
      </w:pPr>
      <w:r w:rsidRPr="003C626F">
        <w:rPr>
          <w:rFonts w:ascii="Times New Roman" w:hAnsi="Times New Roman" w:cs="Times New Roman"/>
        </w:rPr>
        <w:t>*Andi</w:t>
      </w:r>
      <w:r w:rsidRPr="003C626F">
        <w:rPr>
          <w:rFonts w:ascii="Times New Roman" w:hAnsi="Times New Roman" w:cs="Times New Roman"/>
          <w:spacing w:val="-8"/>
        </w:rPr>
        <w:t xml:space="preserve"> </w:t>
      </w:r>
      <w:r w:rsidRPr="003C626F">
        <w:rPr>
          <w:rFonts w:ascii="Times New Roman" w:hAnsi="Times New Roman" w:cs="Times New Roman"/>
        </w:rPr>
        <w:t>Muhammad</w:t>
      </w:r>
      <w:r w:rsidRPr="003C626F">
        <w:rPr>
          <w:rFonts w:ascii="Times New Roman" w:hAnsi="Times New Roman" w:cs="Times New Roman"/>
          <w:spacing w:val="-6"/>
        </w:rPr>
        <w:t xml:space="preserve"> </w:t>
      </w:r>
      <w:r w:rsidRPr="003C626F">
        <w:rPr>
          <w:rFonts w:ascii="Times New Roman" w:hAnsi="Times New Roman" w:cs="Times New Roman"/>
        </w:rPr>
        <w:t>Farid</w:t>
      </w:r>
      <w:r w:rsidRPr="003C626F">
        <w:rPr>
          <w:rFonts w:ascii="Times New Roman" w:hAnsi="Times New Roman" w:cs="Times New Roman"/>
          <w:spacing w:val="-10"/>
        </w:rPr>
        <w:t xml:space="preserve"> </w:t>
      </w:r>
      <w:r w:rsidRPr="003C626F">
        <w:rPr>
          <w:rFonts w:ascii="Times New Roman" w:hAnsi="Times New Roman" w:cs="Times New Roman"/>
        </w:rPr>
        <w:t>Fausan</w:t>
      </w:r>
      <w:r w:rsidRPr="003C626F">
        <w:rPr>
          <w:rFonts w:ascii="Times New Roman" w:hAnsi="Times New Roman" w:cs="Times New Roman"/>
          <w:spacing w:val="-5"/>
        </w:rPr>
        <w:t xml:space="preserve"> </w:t>
      </w:r>
      <w:r w:rsidRPr="003C626F">
        <w:rPr>
          <w:rFonts w:ascii="Times New Roman" w:hAnsi="Times New Roman" w:cs="Times New Roman"/>
          <w:spacing w:val="-4"/>
        </w:rPr>
        <w:t>Bate</w:t>
      </w:r>
    </w:p>
    <w:p w14:paraId="421E79C2" w14:textId="77777777" w:rsidR="004C6797" w:rsidRPr="00CB77A7" w:rsidRDefault="004C6797" w:rsidP="004C6797">
      <w:pPr>
        <w:jc w:val="center"/>
        <w:rPr>
          <w:rFonts w:ascii="Times New Roman" w:hAnsi="Times New Roman" w:cs="Times New Roman"/>
          <w:b/>
          <w:bCs/>
          <w:sz w:val="24"/>
          <w:szCs w:val="24"/>
        </w:rPr>
      </w:pPr>
      <w:r w:rsidRPr="00CB77A7">
        <w:rPr>
          <w:rFonts w:ascii="Times New Roman" w:hAnsi="Times New Roman" w:cs="Times New Roman"/>
          <w:b/>
          <w:bCs/>
          <w:sz w:val="24"/>
          <w:szCs w:val="24"/>
        </w:rPr>
        <w:t>Abstract</w:t>
      </w:r>
    </w:p>
    <w:p w14:paraId="2631E1C4" w14:textId="77777777" w:rsidR="004C6797" w:rsidRPr="003C626F" w:rsidRDefault="004C6797" w:rsidP="004C6797">
      <w:pPr>
        <w:pStyle w:val="BodyText"/>
        <w:spacing w:before="3"/>
        <w:rPr>
          <w:rFonts w:ascii="Times New Roman" w:hAnsi="Times New Roman" w:cs="Times New Roman"/>
          <w:b/>
        </w:rPr>
      </w:pPr>
    </w:p>
    <w:p w14:paraId="62AEF152" w14:textId="77777777" w:rsidR="004C6797" w:rsidRPr="003C626F" w:rsidRDefault="004C6797" w:rsidP="004C6797">
      <w:pPr>
        <w:spacing w:before="1"/>
        <w:ind w:left="568" w:right="132" w:firstLine="720"/>
        <w:rPr>
          <w:rFonts w:ascii="Times New Roman" w:hAnsi="Times New Roman" w:cs="Times New Roman"/>
          <w:sz w:val="18"/>
        </w:rPr>
      </w:pPr>
      <w:r w:rsidRPr="003C626F">
        <w:rPr>
          <w:rFonts w:ascii="Times New Roman" w:hAnsi="Times New Roman" w:cs="Times New Roman"/>
          <w:sz w:val="18"/>
        </w:rPr>
        <w:t>The presence of Artificial Intelligence (AI) as one of today's technological products has become a game changer in nearly every sector, reforming and transforming how we conduct our lives, including in the field of public policy with the efficiency it offers. However, the involvement of AI in this sector also brings about</w:t>
      </w:r>
      <w:r w:rsidRPr="003C626F">
        <w:rPr>
          <w:rFonts w:ascii="Times New Roman" w:hAnsi="Times New Roman" w:cs="Times New Roman"/>
          <w:spacing w:val="-12"/>
          <w:sz w:val="18"/>
        </w:rPr>
        <w:t xml:space="preserve"> </w:t>
      </w:r>
      <w:r w:rsidRPr="003C626F">
        <w:rPr>
          <w:rFonts w:ascii="Times New Roman" w:hAnsi="Times New Roman" w:cs="Times New Roman"/>
          <w:sz w:val="18"/>
        </w:rPr>
        <w:t>significant</w:t>
      </w:r>
      <w:r w:rsidRPr="003C626F">
        <w:rPr>
          <w:rFonts w:ascii="Times New Roman" w:hAnsi="Times New Roman" w:cs="Times New Roman"/>
          <w:spacing w:val="-9"/>
          <w:sz w:val="18"/>
        </w:rPr>
        <w:t xml:space="preserve"> </w:t>
      </w:r>
      <w:r w:rsidRPr="003C626F">
        <w:rPr>
          <w:rFonts w:ascii="Times New Roman" w:hAnsi="Times New Roman" w:cs="Times New Roman"/>
          <w:sz w:val="18"/>
        </w:rPr>
        <w:t>challenges,</w:t>
      </w:r>
      <w:r w:rsidRPr="003C626F">
        <w:rPr>
          <w:rFonts w:ascii="Times New Roman" w:hAnsi="Times New Roman" w:cs="Times New Roman"/>
          <w:spacing w:val="-11"/>
          <w:sz w:val="18"/>
        </w:rPr>
        <w:t xml:space="preserve"> </w:t>
      </w:r>
      <w:r w:rsidRPr="003C626F">
        <w:rPr>
          <w:rFonts w:ascii="Times New Roman" w:hAnsi="Times New Roman" w:cs="Times New Roman"/>
          <w:sz w:val="18"/>
        </w:rPr>
        <w:t>particularly</w:t>
      </w:r>
      <w:r w:rsidRPr="003C626F">
        <w:rPr>
          <w:rFonts w:ascii="Times New Roman" w:hAnsi="Times New Roman" w:cs="Times New Roman"/>
          <w:spacing w:val="-10"/>
          <w:sz w:val="18"/>
        </w:rPr>
        <w:t xml:space="preserve"> </w:t>
      </w:r>
      <w:r w:rsidRPr="003C626F">
        <w:rPr>
          <w:rFonts w:ascii="Times New Roman" w:hAnsi="Times New Roman" w:cs="Times New Roman"/>
          <w:sz w:val="18"/>
        </w:rPr>
        <w:t>ethical</w:t>
      </w:r>
      <w:r w:rsidRPr="003C626F">
        <w:rPr>
          <w:rFonts w:ascii="Times New Roman" w:hAnsi="Times New Roman" w:cs="Times New Roman"/>
          <w:spacing w:val="-8"/>
          <w:sz w:val="18"/>
        </w:rPr>
        <w:t xml:space="preserve"> </w:t>
      </w:r>
      <w:r w:rsidRPr="003C626F">
        <w:rPr>
          <w:rFonts w:ascii="Times New Roman" w:hAnsi="Times New Roman" w:cs="Times New Roman"/>
          <w:sz w:val="18"/>
        </w:rPr>
        <w:t>concerns.</w:t>
      </w:r>
      <w:r w:rsidRPr="003C626F">
        <w:rPr>
          <w:rFonts w:ascii="Times New Roman" w:hAnsi="Times New Roman" w:cs="Times New Roman"/>
          <w:spacing w:val="-8"/>
          <w:sz w:val="18"/>
        </w:rPr>
        <w:t xml:space="preserve"> </w:t>
      </w:r>
      <w:r w:rsidRPr="003C626F">
        <w:rPr>
          <w:rFonts w:ascii="Times New Roman" w:hAnsi="Times New Roman" w:cs="Times New Roman"/>
          <w:sz w:val="18"/>
        </w:rPr>
        <w:t>Using</w:t>
      </w:r>
      <w:r w:rsidRPr="003C626F">
        <w:rPr>
          <w:rFonts w:ascii="Times New Roman" w:hAnsi="Times New Roman" w:cs="Times New Roman"/>
          <w:spacing w:val="-10"/>
          <w:sz w:val="18"/>
        </w:rPr>
        <w:t xml:space="preserve"> </w:t>
      </w:r>
      <w:r w:rsidRPr="003C626F">
        <w:rPr>
          <w:rFonts w:ascii="Times New Roman" w:hAnsi="Times New Roman" w:cs="Times New Roman"/>
          <w:sz w:val="18"/>
        </w:rPr>
        <w:t>William</w:t>
      </w:r>
      <w:r w:rsidRPr="003C626F">
        <w:rPr>
          <w:rFonts w:ascii="Times New Roman" w:hAnsi="Times New Roman" w:cs="Times New Roman"/>
          <w:spacing w:val="-12"/>
          <w:sz w:val="18"/>
        </w:rPr>
        <w:t xml:space="preserve"> </w:t>
      </w:r>
      <w:r w:rsidRPr="003C626F">
        <w:rPr>
          <w:rFonts w:ascii="Times New Roman" w:hAnsi="Times New Roman" w:cs="Times New Roman"/>
          <w:sz w:val="18"/>
        </w:rPr>
        <w:t>Dunn's</w:t>
      </w:r>
      <w:r w:rsidRPr="003C626F">
        <w:rPr>
          <w:rFonts w:ascii="Times New Roman" w:hAnsi="Times New Roman" w:cs="Times New Roman"/>
          <w:spacing w:val="-10"/>
          <w:sz w:val="18"/>
        </w:rPr>
        <w:t xml:space="preserve"> </w:t>
      </w:r>
      <w:r w:rsidRPr="003C626F">
        <w:rPr>
          <w:rFonts w:ascii="Times New Roman" w:hAnsi="Times New Roman" w:cs="Times New Roman"/>
          <w:sz w:val="18"/>
        </w:rPr>
        <w:t>Policy</w:t>
      </w:r>
      <w:r w:rsidRPr="003C626F">
        <w:rPr>
          <w:rFonts w:ascii="Times New Roman" w:hAnsi="Times New Roman" w:cs="Times New Roman"/>
          <w:spacing w:val="-10"/>
          <w:sz w:val="18"/>
        </w:rPr>
        <w:t xml:space="preserve"> </w:t>
      </w:r>
      <w:r w:rsidRPr="003C626F">
        <w:rPr>
          <w:rFonts w:ascii="Times New Roman" w:hAnsi="Times New Roman" w:cs="Times New Roman"/>
          <w:sz w:val="18"/>
        </w:rPr>
        <w:t>Cycle</w:t>
      </w:r>
      <w:r w:rsidRPr="003C626F">
        <w:rPr>
          <w:rFonts w:ascii="Times New Roman" w:hAnsi="Times New Roman" w:cs="Times New Roman"/>
          <w:spacing w:val="-9"/>
          <w:sz w:val="18"/>
        </w:rPr>
        <w:t xml:space="preserve"> </w:t>
      </w:r>
      <w:r w:rsidRPr="003C626F">
        <w:rPr>
          <w:rFonts w:ascii="Times New Roman" w:hAnsi="Times New Roman" w:cs="Times New Roman"/>
          <w:sz w:val="18"/>
        </w:rPr>
        <w:t>Framework,</w:t>
      </w:r>
      <w:r w:rsidRPr="003C626F">
        <w:rPr>
          <w:rFonts w:ascii="Times New Roman" w:hAnsi="Times New Roman" w:cs="Times New Roman"/>
          <w:spacing w:val="-10"/>
          <w:sz w:val="18"/>
        </w:rPr>
        <w:t xml:space="preserve"> </w:t>
      </w:r>
      <w:r w:rsidRPr="003C626F">
        <w:rPr>
          <w:rFonts w:ascii="Times New Roman" w:hAnsi="Times New Roman" w:cs="Times New Roman"/>
          <w:sz w:val="18"/>
        </w:rPr>
        <w:t>this study aims to analyze the potential role of AI in driving efficiency at each stage of the policy process. In addition, ethical concerns, as a major challenge, will also be addressed. This research adopts a qualitative approach</w:t>
      </w:r>
      <w:r w:rsidRPr="003C626F">
        <w:rPr>
          <w:rFonts w:ascii="Times New Roman" w:hAnsi="Times New Roman" w:cs="Times New Roman"/>
          <w:spacing w:val="-5"/>
          <w:sz w:val="18"/>
        </w:rPr>
        <w:t xml:space="preserve"> </w:t>
      </w:r>
      <w:r w:rsidRPr="003C626F">
        <w:rPr>
          <w:rFonts w:ascii="Times New Roman" w:hAnsi="Times New Roman" w:cs="Times New Roman"/>
          <w:sz w:val="18"/>
        </w:rPr>
        <w:t>by</w:t>
      </w:r>
      <w:r w:rsidRPr="003C626F">
        <w:rPr>
          <w:rFonts w:ascii="Times New Roman" w:hAnsi="Times New Roman" w:cs="Times New Roman"/>
          <w:spacing w:val="-5"/>
          <w:sz w:val="18"/>
        </w:rPr>
        <w:t xml:space="preserve"> </w:t>
      </w:r>
      <w:r w:rsidRPr="003C626F">
        <w:rPr>
          <w:rFonts w:ascii="Times New Roman" w:hAnsi="Times New Roman" w:cs="Times New Roman"/>
          <w:sz w:val="18"/>
        </w:rPr>
        <w:t>extracting</w:t>
      </w:r>
      <w:r w:rsidRPr="003C626F">
        <w:rPr>
          <w:rFonts w:ascii="Times New Roman" w:hAnsi="Times New Roman" w:cs="Times New Roman"/>
          <w:spacing w:val="-2"/>
          <w:sz w:val="18"/>
        </w:rPr>
        <w:t xml:space="preserve"> </w:t>
      </w:r>
      <w:r w:rsidRPr="003C626F">
        <w:rPr>
          <w:rFonts w:ascii="Times New Roman" w:hAnsi="Times New Roman" w:cs="Times New Roman"/>
          <w:sz w:val="18"/>
        </w:rPr>
        <w:t>data</w:t>
      </w:r>
      <w:r w:rsidRPr="003C626F">
        <w:rPr>
          <w:rFonts w:ascii="Times New Roman" w:hAnsi="Times New Roman" w:cs="Times New Roman"/>
          <w:spacing w:val="-4"/>
          <w:sz w:val="18"/>
        </w:rPr>
        <w:t xml:space="preserve"> </w:t>
      </w:r>
      <w:r w:rsidRPr="003C626F">
        <w:rPr>
          <w:rFonts w:ascii="Times New Roman" w:hAnsi="Times New Roman" w:cs="Times New Roman"/>
          <w:sz w:val="18"/>
        </w:rPr>
        <w:t>from</w:t>
      </w:r>
      <w:r w:rsidRPr="003C626F">
        <w:rPr>
          <w:rFonts w:ascii="Times New Roman" w:hAnsi="Times New Roman" w:cs="Times New Roman"/>
          <w:spacing w:val="-7"/>
          <w:sz w:val="18"/>
        </w:rPr>
        <w:t xml:space="preserve"> </w:t>
      </w:r>
      <w:r w:rsidRPr="003C626F">
        <w:rPr>
          <w:rFonts w:ascii="Times New Roman" w:hAnsi="Times New Roman" w:cs="Times New Roman"/>
          <w:sz w:val="18"/>
        </w:rPr>
        <w:t>a</w:t>
      </w:r>
      <w:r w:rsidRPr="003C626F">
        <w:rPr>
          <w:rFonts w:ascii="Times New Roman" w:hAnsi="Times New Roman" w:cs="Times New Roman"/>
          <w:spacing w:val="-5"/>
          <w:sz w:val="18"/>
        </w:rPr>
        <w:t xml:space="preserve"> </w:t>
      </w:r>
      <w:r w:rsidRPr="003C626F">
        <w:rPr>
          <w:rFonts w:ascii="Times New Roman" w:hAnsi="Times New Roman" w:cs="Times New Roman"/>
          <w:sz w:val="18"/>
        </w:rPr>
        <w:t>range</w:t>
      </w:r>
      <w:r w:rsidRPr="003C626F">
        <w:rPr>
          <w:rFonts w:ascii="Times New Roman" w:hAnsi="Times New Roman" w:cs="Times New Roman"/>
          <w:spacing w:val="-5"/>
          <w:sz w:val="18"/>
        </w:rPr>
        <w:t xml:space="preserve"> </w:t>
      </w:r>
      <w:r w:rsidRPr="003C626F">
        <w:rPr>
          <w:rFonts w:ascii="Times New Roman" w:hAnsi="Times New Roman" w:cs="Times New Roman"/>
          <w:sz w:val="18"/>
        </w:rPr>
        <w:t>of</w:t>
      </w:r>
      <w:r w:rsidRPr="003C626F">
        <w:rPr>
          <w:rFonts w:ascii="Times New Roman" w:hAnsi="Times New Roman" w:cs="Times New Roman"/>
          <w:spacing w:val="-4"/>
          <w:sz w:val="18"/>
        </w:rPr>
        <w:t xml:space="preserve"> </w:t>
      </w:r>
      <w:r w:rsidRPr="003C626F">
        <w:rPr>
          <w:rFonts w:ascii="Times New Roman" w:hAnsi="Times New Roman" w:cs="Times New Roman"/>
          <w:sz w:val="18"/>
        </w:rPr>
        <w:t>academic</w:t>
      </w:r>
      <w:r w:rsidRPr="003C626F">
        <w:rPr>
          <w:rFonts w:ascii="Times New Roman" w:hAnsi="Times New Roman" w:cs="Times New Roman"/>
          <w:spacing w:val="-4"/>
          <w:sz w:val="18"/>
        </w:rPr>
        <w:t xml:space="preserve"> </w:t>
      </w:r>
      <w:r w:rsidRPr="003C626F">
        <w:rPr>
          <w:rFonts w:ascii="Times New Roman" w:hAnsi="Times New Roman" w:cs="Times New Roman"/>
          <w:sz w:val="18"/>
        </w:rPr>
        <w:t>literature</w:t>
      </w:r>
      <w:r w:rsidRPr="003C626F">
        <w:rPr>
          <w:rFonts w:ascii="Times New Roman" w:hAnsi="Times New Roman" w:cs="Times New Roman"/>
          <w:spacing w:val="-4"/>
          <w:sz w:val="18"/>
        </w:rPr>
        <w:t xml:space="preserve"> </w:t>
      </w:r>
      <w:r w:rsidRPr="003C626F">
        <w:rPr>
          <w:rFonts w:ascii="Times New Roman" w:hAnsi="Times New Roman" w:cs="Times New Roman"/>
          <w:sz w:val="18"/>
        </w:rPr>
        <w:t>and</w:t>
      </w:r>
      <w:r w:rsidRPr="003C626F">
        <w:rPr>
          <w:rFonts w:ascii="Times New Roman" w:hAnsi="Times New Roman" w:cs="Times New Roman"/>
          <w:spacing w:val="-3"/>
          <w:sz w:val="18"/>
        </w:rPr>
        <w:t xml:space="preserve"> </w:t>
      </w:r>
      <w:r w:rsidRPr="003C626F">
        <w:rPr>
          <w:rFonts w:ascii="Times New Roman" w:hAnsi="Times New Roman" w:cs="Times New Roman"/>
          <w:sz w:val="18"/>
        </w:rPr>
        <w:t>policy</w:t>
      </w:r>
      <w:r w:rsidRPr="003C626F">
        <w:rPr>
          <w:rFonts w:ascii="Times New Roman" w:hAnsi="Times New Roman" w:cs="Times New Roman"/>
          <w:spacing w:val="-3"/>
          <w:sz w:val="18"/>
        </w:rPr>
        <w:t xml:space="preserve"> </w:t>
      </w:r>
      <w:r w:rsidRPr="003C626F">
        <w:rPr>
          <w:rFonts w:ascii="Times New Roman" w:hAnsi="Times New Roman" w:cs="Times New Roman"/>
          <w:sz w:val="18"/>
        </w:rPr>
        <w:t>reports.</w:t>
      </w:r>
      <w:r w:rsidRPr="003C626F">
        <w:rPr>
          <w:rFonts w:ascii="Times New Roman" w:hAnsi="Times New Roman" w:cs="Times New Roman"/>
          <w:spacing w:val="-3"/>
          <w:sz w:val="18"/>
        </w:rPr>
        <w:t xml:space="preserve"> </w:t>
      </w:r>
      <w:r w:rsidRPr="003C626F">
        <w:rPr>
          <w:rFonts w:ascii="Times New Roman" w:hAnsi="Times New Roman" w:cs="Times New Roman"/>
          <w:sz w:val="18"/>
        </w:rPr>
        <w:t>The</w:t>
      </w:r>
      <w:r w:rsidRPr="003C626F">
        <w:rPr>
          <w:rFonts w:ascii="Times New Roman" w:hAnsi="Times New Roman" w:cs="Times New Roman"/>
          <w:spacing w:val="-5"/>
          <w:sz w:val="18"/>
        </w:rPr>
        <w:t xml:space="preserve"> </w:t>
      </w:r>
      <w:r w:rsidRPr="003C626F">
        <w:rPr>
          <w:rFonts w:ascii="Times New Roman" w:hAnsi="Times New Roman" w:cs="Times New Roman"/>
          <w:sz w:val="18"/>
        </w:rPr>
        <w:t>findings</w:t>
      </w:r>
      <w:r w:rsidRPr="003C626F">
        <w:rPr>
          <w:rFonts w:ascii="Times New Roman" w:hAnsi="Times New Roman" w:cs="Times New Roman"/>
          <w:spacing w:val="-4"/>
          <w:sz w:val="18"/>
        </w:rPr>
        <w:t xml:space="preserve"> </w:t>
      </w:r>
      <w:r w:rsidRPr="003C626F">
        <w:rPr>
          <w:rFonts w:ascii="Times New Roman" w:hAnsi="Times New Roman" w:cs="Times New Roman"/>
          <w:sz w:val="18"/>
        </w:rPr>
        <w:t>suggest</w:t>
      </w:r>
      <w:r w:rsidRPr="003C626F">
        <w:rPr>
          <w:rFonts w:ascii="Times New Roman" w:hAnsi="Times New Roman" w:cs="Times New Roman"/>
          <w:spacing w:val="-4"/>
          <w:sz w:val="18"/>
        </w:rPr>
        <w:t xml:space="preserve"> </w:t>
      </w:r>
      <w:r w:rsidRPr="003C626F">
        <w:rPr>
          <w:rFonts w:ascii="Times New Roman" w:hAnsi="Times New Roman" w:cs="Times New Roman"/>
          <w:sz w:val="18"/>
        </w:rPr>
        <w:t>that</w:t>
      </w:r>
      <w:r w:rsidRPr="003C626F">
        <w:rPr>
          <w:rFonts w:ascii="Times New Roman" w:hAnsi="Times New Roman" w:cs="Times New Roman"/>
          <w:spacing w:val="-3"/>
          <w:sz w:val="18"/>
        </w:rPr>
        <w:t xml:space="preserve"> </w:t>
      </w:r>
      <w:r w:rsidRPr="003C626F">
        <w:rPr>
          <w:rFonts w:ascii="Times New Roman" w:hAnsi="Times New Roman" w:cs="Times New Roman"/>
          <w:sz w:val="18"/>
        </w:rPr>
        <w:t>if policymakers can optimize</w:t>
      </w:r>
      <w:r w:rsidRPr="003C626F">
        <w:rPr>
          <w:rFonts w:ascii="Times New Roman" w:hAnsi="Times New Roman" w:cs="Times New Roman"/>
          <w:spacing w:val="-1"/>
          <w:sz w:val="18"/>
        </w:rPr>
        <w:t xml:space="preserve"> </w:t>
      </w:r>
      <w:r w:rsidRPr="003C626F">
        <w:rPr>
          <w:rFonts w:ascii="Times New Roman" w:hAnsi="Times New Roman" w:cs="Times New Roman"/>
          <w:sz w:val="18"/>
        </w:rPr>
        <w:t>the</w:t>
      </w:r>
      <w:r w:rsidRPr="003C626F">
        <w:rPr>
          <w:rFonts w:ascii="Times New Roman" w:hAnsi="Times New Roman" w:cs="Times New Roman"/>
          <w:spacing w:val="-2"/>
          <w:sz w:val="18"/>
        </w:rPr>
        <w:t xml:space="preserve"> </w:t>
      </w:r>
      <w:r w:rsidRPr="003C626F">
        <w:rPr>
          <w:rFonts w:ascii="Times New Roman" w:hAnsi="Times New Roman" w:cs="Times New Roman"/>
          <w:sz w:val="18"/>
        </w:rPr>
        <w:t>various</w:t>
      </w:r>
      <w:r w:rsidRPr="003C626F">
        <w:rPr>
          <w:rFonts w:ascii="Times New Roman" w:hAnsi="Times New Roman" w:cs="Times New Roman"/>
          <w:spacing w:val="-2"/>
          <w:sz w:val="18"/>
        </w:rPr>
        <w:t xml:space="preserve"> </w:t>
      </w:r>
      <w:r w:rsidRPr="003C626F">
        <w:rPr>
          <w:rFonts w:ascii="Times New Roman" w:hAnsi="Times New Roman" w:cs="Times New Roman"/>
          <w:sz w:val="18"/>
        </w:rPr>
        <w:t>features</w:t>
      </w:r>
      <w:r w:rsidRPr="003C626F">
        <w:rPr>
          <w:rFonts w:ascii="Times New Roman" w:hAnsi="Times New Roman" w:cs="Times New Roman"/>
          <w:spacing w:val="-2"/>
          <w:sz w:val="18"/>
        </w:rPr>
        <w:t xml:space="preserve"> </w:t>
      </w:r>
      <w:r w:rsidRPr="003C626F">
        <w:rPr>
          <w:rFonts w:ascii="Times New Roman" w:hAnsi="Times New Roman" w:cs="Times New Roman"/>
          <w:sz w:val="18"/>
        </w:rPr>
        <w:t>offered by AI systems, AI has</w:t>
      </w:r>
      <w:r w:rsidRPr="003C626F">
        <w:rPr>
          <w:rFonts w:ascii="Times New Roman" w:hAnsi="Times New Roman" w:cs="Times New Roman"/>
          <w:spacing w:val="-1"/>
          <w:sz w:val="18"/>
        </w:rPr>
        <w:t xml:space="preserve"> </w:t>
      </w:r>
      <w:r w:rsidRPr="003C626F">
        <w:rPr>
          <w:rFonts w:ascii="Times New Roman" w:hAnsi="Times New Roman" w:cs="Times New Roman"/>
          <w:sz w:val="18"/>
        </w:rPr>
        <w:t>significant</w:t>
      </w:r>
      <w:r w:rsidRPr="003C626F">
        <w:rPr>
          <w:rFonts w:ascii="Times New Roman" w:hAnsi="Times New Roman" w:cs="Times New Roman"/>
          <w:spacing w:val="-1"/>
          <w:sz w:val="18"/>
        </w:rPr>
        <w:t xml:space="preserve"> </w:t>
      </w:r>
      <w:r w:rsidRPr="003C626F">
        <w:rPr>
          <w:rFonts w:ascii="Times New Roman" w:hAnsi="Times New Roman" w:cs="Times New Roman"/>
          <w:sz w:val="18"/>
        </w:rPr>
        <w:t>and</w:t>
      </w:r>
      <w:r w:rsidRPr="003C626F">
        <w:rPr>
          <w:rFonts w:ascii="Times New Roman" w:hAnsi="Times New Roman" w:cs="Times New Roman"/>
          <w:spacing w:val="-1"/>
          <w:sz w:val="18"/>
        </w:rPr>
        <w:t xml:space="preserve"> </w:t>
      </w:r>
      <w:r w:rsidRPr="003C626F">
        <w:rPr>
          <w:rFonts w:ascii="Times New Roman" w:hAnsi="Times New Roman" w:cs="Times New Roman"/>
          <w:sz w:val="18"/>
        </w:rPr>
        <w:t>crucial</w:t>
      </w:r>
      <w:r w:rsidRPr="003C626F">
        <w:rPr>
          <w:rFonts w:ascii="Times New Roman" w:hAnsi="Times New Roman" w:cs="Times New Roman"/>
          <w:spacing w:val="-4"/>
          <w:sz w:val="18"/>
        </w:rPr>
        <w:t xml:space="preserve"> </w:t>
      </w:r>
      <w:r w:rsidRPr="003C626F">
        <w:rPr>
          <w:rFonts w:ascii="Times New Roman" w:hAnsi="Times New Roman" w:cs="Times New Roman"/>
          <w:sz w:val="18"/>
        </w:rPr>
        <w:t>potential at</w:t>
      </w:r>
      <w:r w:rsidRPr="003C626F">
        <w:rPr>
          <w:rFonts w:ascii="Times New Roman" w:hAnsi="Times New Roman" w:cs="Times New Roman"/>
          <w:spacing w:val="-4"/>
          <w:sz w:val="18"/>
        </w:rPr>
        <w:t xml:space="preserve"> </w:t>
      </w:r>
      <w:r w:rsidRPr="003C626F">
        <w:rPr>
          <w:rFonts w:ascii="Times New Roman" w:hAnsi="Times New Roman" w:cs="Times New Roman"/>
          <w:sz w:val="18"/>
        </w:rPr>
        <w:t>every</w:t>
      </w:r>
      <w:r w:rsidRPr="003C626F">
        <w:rPr>
          <w:rFonts w:ascii="Times New Roman" w:hAnsi="Times New Roman" w:cs="Times New Roman"/>
          <w:spacing w:val="-5"/>
          <w:sz w:val="18"/>
        </w:rPr>
        <w:t xml:space="preserve"> </w:t>
      </w:r>
      <w:r w:rsidRPr="003C626F">
        <w:rPr>
          <w:rFonts w:ascii="Times New Roman" w:hAnsi="Times New Roman" w:cs="Times New Roman"/>
          <w:sz w:val="18"/>
        </w:rPr>
        <w:t>phase,</w:t>
      </w:r>
      <w:r w:rsidRPr="003C626F">
        <w:rPr>
          <w:rFonts w:ascii="Times New Roman" w:hAnsi="Times New Roman" w:cs="Times New Roman"/>
          <w:spacing w:val="-3"/>
          <w:sz w:val="18"/>
        </w:rPr>
        <w:t xml:space="preserve"> </w:t>
      </w:r>
      <w:r w:rsidRPr="003C626F">
        <w:rPr>
          <w:rFonts w:ascii="Times New Roman" w:hAnsi="Times New Roman" w:cs="Times New Roman"/>
          <w:sz w:val="18"/>
        </w:rPr>
        <w:t>from</w:t>
      </w:r>
      <w:r w:rsidRPr="003C626F">
        <w:rPr>
          <w:rFonts w:ascii="Times New Roman" w:hAnsi="Times New Roman" w:cs="Times New Roman"/>
          <w:spacing w:val="-7"/>
          <w:sz w:val="18"/>
        </w:rPr>
        <w:t xml:space="preserve"> </w:t>
      </w:r>
      <w:r w:rsidRPr="003C626F">
        <w:rPr>
          <w:rFonts w:ascii="Times New Roman" w:hAnsi="Times New Roman" w:cs="Times New Roman"/>
          <w:sz w:val="18"/>
        </w:rPr>
        <w:t>the</w:t>
      </w:r>
      <w:r w:rsidRPr="003C626F">
        <w:rPr>
          <w:rFonts w:ascii="Times New Roman" w:hAnsi="Times New Roman" w:cs="Times New Roman"/>
          <w:spacing w:val="-7"/>
          <w:sz w:val="18"/>
        </w:rPr>
        <w:t xml:space="preserve"> </w:t>
      </w:r>
      <w:r w:rsidRPr="003C626F">
        <w:rPr>
          <w:rFonts w:ascii="Times New Roman" w:hAnsi="Times New Roman" w:cs="Times New Roman"/>
          <w:sz w:val="18"/>
        </w:rPr>
        <w:t>agenda-setting</w:t>
      </w:r>
      <w:r w:rsidRPr="003C626F">
        <w:rPr>
          <w:rFonts w:ascii="Times New Roman" w:hAnsi="Times New Roman" w:cs="Times New Roman"/>
          <w:spacing w:val="-5"/>
          <w:sz w:val="18"/>
        </w:rPr>
        <w:t xml:space="preserve"> </w:t>
      </w:r>
      <w:r w:rsidRPr="003C626F">
        <w:rPr>
          <w:rFonts w:ascii="Times New Roman" w:hAnsi="Times New Roman" w:cs="Times New Roman"/>
          <w:sz w:val="18"/>
        </w:rPr>
        <w:t>stage,</w:t>
      </w:r>
      <w:r w:rsidRPr="003C626F">
        <w:rPr>
          <w:rFonts w:ascii="Times New Roman" w:hAnsi="Times New Roman" w:cs="Times New Roman"/>
          <w:spacing w:val="-3"/>
          <w:sz w:val="18"/>
        </w:rPr>
        <w:t xml:space="preserve"> </w:t>
      </w:r>
      <w:r w:rsidRPr="003C626F">
        <w:rPr>
          <w:rFonts w:ascii="Times New Roman" w:hAnsi="Times New Roman" w:cs="Times New Roman"/>
          <w:sz w:val="18"/>
        </w:rPr>
        <w:t>which</w:t>
      </w:r>
      <w:r w:rsidRPr="003C626F">
        <w:rPr>
          <w:rFonts w:ascii="Times New Roman" w:hAnsi="Times New Roman" w:cs="Times New Roman"/>
          <w:spacing w:val="-3"/>
          <w:sz w:val="18"/>
        </w:rPr>
        <w:t xml:space="preserve"> </w:t>
      </w:r>
      <w:r w:rsidRPr="003C626F">
        <w:rPr>
          <w:rFonts w:ascii="Times New Roman" w:hAnsi="Times New Roman" w:cs="Times New Roman"/>
          <w:sz w:val="18"/>
        </w:rPr>
        <w:t>aims</w:t>
      </w:r>
      <w:r w:rsidRPr="003C626F">
        <w:rPr>
          <w:rFonts w:ascii="Times New Roman" w:hAnsi="Times New Roman" w:cs="Times New Roman"/>
          <w:spacing w:val="-8"/>
          <w:sz w:val="18"/>
        </w:rPr>
        <w:t xml:space="preserve"> </w:t>
      </w:r>
      <w:r w:rsidRPr="003C626F">
        <w:rPr>
          <w:rFonts w:ascii="Times New Roman" w:hAnsi="Times New Roman" w:cs="Times New Roman"/>
          <w:sz w:val="18"/>
        </w:rPr>
        <w:t>to</w:t>
      </w:r>
      <w:r w:rsidRPr="003C626F">
        <w:rPr>
          <w:rFonts w:ascii="Times New Roman" w:hAnsi="Times New Roman" w:cs="Times New Roman"/>
          <w:spacing w:val="-5"/>
          <w:sz w:val="18"/>
        </w:rPr>
        <w:t xml:space="preserve"> </w:t>
      </w:r>
      <w:r w:rsidRPr="003C626F">
        <w:rPr>
          <w:rFonts w:ascii="Times New Roman" w:hAnsi="Times New Roman" w:cs="Times New Roman"/>
          <w:sz w:val="18"/>
        </w:rPr>
        <w:t>establish</w:t>
      </w:r>
      <w:r w:rsidRPr="003C626F">
        <w:rPr>
          <w:rFonts w:ascii="Times New Roman" w:hAnsi="Times New Roman" w:cs="Times New Roman"/>
          <w:spacing w:val="-3"/>
          <w:sz w:val="18"/>
        </w:rPr>
        <w:t xml:space="preserve"> </w:t>
      </w:r>
      <w:r w:rsidRPr="003C626F">
        <w:rPr>
          <w:rFonts w:ascii="Times New Roman" w:hAnsi="Times New Roman" w:cs="Times New Roman"/>
          <w:sz w:val="18"/>
        </w:rPr>
        <w:t>a</w:t>
      </w:r>
      <w:r w:rsidRPr="003C626F">
        <w:rPr>
          <w:rFonts w:ascii="Times New Roman" w:hAnsi="Times New Roman" w:cs="Times New Roman"/>
          <w:spacing w:val="-7"/>
          <w:sz w:val="18"/>
        </w:rPr>
        <w:t xml:space="preserve"> </w:t>
      </w:r>
      <w:r w:rsidRPr="003C626F">
        <w:rPr>
          <w:rFonts w:ascii="Times New Roman" w:hAnsi="Times New Roman" w:cs="Times New Roman"/>
          <w:sz w:val="18"/>
        </w:rPr>
        <w:t>priority</w:t>
      </w:r>
      <w:r w:rsidRPr="003C626F">
        <w:rPr>
          <w:rFonts w:ascii="Times New Roman" w:hAnsi="Times New Roman" w:cs="Times New Roman"/>
          <w:spacing w:val="-4"/>
          <w:sz w:val="18"/>
        </w:rPr>
        <w:t xml:space="preserve"> </w:t>
      </w:r>
      <w:r w:rsidRPr="003C626F">
        <w:rPr>
          <w:rFonts w:ascii="Times New Roman" w:hAnsi="Times New Roman" w:cs="Times New Roman"/>
          <w:sz w:val="18"/>
        </w:rPr>
        <w:t>scale</w:t>
      </w:r>
      <w:r w:rsidRPr="003C626F">
        <w:rPr>
          <w:rFonts w:ascii="Times New Roman" w:hAnsi="Times New Roman" w:cs="Times New Roman"/>
          <w:spacing w:val="-7"/>
          <w:sz w:val="18"/>
        </w:rPr>
        <w:t xml:space="preserve"> </w:t>
      </w:r>
      <w:r w:rsidRPr="003C626F">
        <w:rPr>
          <w:rFonts w:ascii="Times New Roman" w:hAnsi="Times New Roman" w:cs="Times New Roman"/>
          <w:sz w:val="18"/>
        </w:rPr>
        <w:t>for</w:t>
      </w:r>
      <w:r w:rsidRPr="003C626F">
        <w:rPr>
          <w:rFonts w:ascii="Times New Roman" w:hAnsi="Times New Roman" w:cs="Times New Roman"/>
          <w:spacing w:val="-6"/>
          <w:sz w:val="18"/>
        </w:rPr>
        <w:t xml:space="preserve"> </w:t>
      </w:r>
      <w:r w:rsidRPr="003C626F">
        <w:rPr>
          <w:rFonts w:ascii="Times New Roman" w:hAnsi="Times New Roman" w:cs="Times New Roman"/>
          <w:sz w:val="18"/>
        </w:rPr>
        <w:t>public</w:t>
      </w:r>
      <w:r w:rsidRPr="003C626F">
        <w:rPr>
          <w:rFonts w:ascii="Times New Roman" w:hAnsi="Times New Roman" w:cs="Times New Roman"/>
          <w:spacing w:val="-7"/>
          <w:sz w:val="18"/>
        </w:rPr>
        <w:t xml:space="preserve"> </w:t>
      </w:r>
      <w:r w:rsidRPr="003C626F">
        <w:rPr>
          <w:rFonts w:ascii="Times New Roman" w:hAnsi="Times New Roman" w:cs="Times New Roman"/>
          <w:sz w:val="18"/>
        </w:rPr>
        <w:t>agendas,</w:t>
      </w:r>
      <w:r w:rsidRPr="003C626F">
        <w:rPr>
          <w:rFonts w:ascii="Times New Roman" w:hAnsi="Times New Roman" w:cs="Times New Roman"/>
          <w:spacing w:val="-4"/>
          <w:sz w:val="18"/>
        </w:rPr>
        <w:t xml:space="preserve"> </w:t>
      </w:r>
      <w:r w:rsidRPr="003C626F">
        <w:rPr>
          <w:rFonts w:ascii="Times New Roman" w:hAnsi="Times New Roman" w:cs="Times New Roman"/>
          <w:sz w:val="18"/>
        </w:rPr>
        <w:t>to</w:t>
      </w:r>
      <w:r w:rsidRPr="003C626F">
        <w:rPr>
          <w:rFonts w:ascii="Times New Roman" w:hAnsi="Times New Roman" w:cs="Times New Roman"/>
          <w:spacing w:val="-5"/>
          <w:sz w:val="18"/>
        </w:rPr>
        <w:t xml:space="preserve"> </w:t>
      </w:r>
      <w:r w:rsidRPr="003C626F">
        <w:rPr>
          <w:rFonts w:ascii="Times New Roman" w:hAnsi="Times New Roman" w:cs="Times New Roman"/>
          <w:sz w:val="18"/>
        </w:rPr>
        <w:t>the evaluation stage to assess the outcomes of policy interventions. Nevertheless, ethical concerns remain an ongoing</w:t>
      </w:r>
      <w:r w:rsidRPr="003C626F">
        <w:rPr>
          <w:rFonts w:ascii="Times New Roman" w:hAnsi="Times New Roman" w:cs="Times New Roman"/>
          <w:spacing w:val="-1"/>
          <w:sz w:val="18"/>
        </w:rPr>
        <w:t xml:space="preserve"> </w:t>
      </w:r>
      <w:r w:rsidRPr="003C626F">
        <w:rPr>
          <w:rFonts w:ascii="Times New Roman" w:hAnsi="Times New Roman" w:cs="Times New Roman"/>
          <w:sz w:val="18"/>
        </w:rPr>
        <w:t>issue</w:t>
      </w:r>
      <w:r w:rsidRPr="003C626F">
        <w:rPr>
          <w:rFonts w:ascii="Times New Roman" w:hAnsi="Times New Roman" w:cs="Times New Roman"/>
          <w:spacing w:val="-2"/>
          <w:sz w:val="18"/>
        </w:rPr>
        <w:t xml:space="preserve"> </w:t>
      </w:r>
      <w:r w:rsidRPr="003C626F">
        <w:rPr>
          <w:rFonts w:ascii="Times New Roman" w:hAnsi="Times New Roman" w:cs="Times New Roman"/>
          <w:sz w:val="18"/>
        </w:rPr>
        <w:t>and a</w:t>
      </w:r>
      <w:r w:rsidRPr="003C626F">
        <w:rPr>
          <w:rFonts w:ascii="Times New Roman" w:hAnsi="Times New Roman" w:cs="Times New Roman"/>
          <w:spacing w:val="-2"/>
          <w:sz w:val="18"/>
        </w:rPr>
        <w:t xml:space="preserve"> </w:t>
      </w:r>
      <w:r w:rsidRPr="003C626F">
        <w:rPr>
          <w:rFonts w:ascii="Times New Roman" w:hAnsi="Times New Roman" w:cs="Times New Roman"/>
          <w:sz w:val="18"/>
        </w:rPr>
        <w:t>source</w:t>
      </w:r>
      <w:r w:rsidRPr="003C626F">
        <w:rPr>
          <w:rFonts w:ascii="Times New Roman" w:hAnsi="Times New Roman" w:cs="Times New Roman"/>
          <w:spacing w:val="-2"/>
          <w:sz w:val="18"/>
        </w:rPr>
        <w:t xml:space="preserve"> </w:t>
      </w:r>
      <w:r w:rsidRPr="003C626F">
        <w:rPr>
          <w:rFonts w:ascii="Times New Roman" w:hAnsi="Times New Roman" w:cs="Times New Roman"/>
          <w:sz w:val="18"/>
        </w:rPr>
        <w:t>of complexity</w:t>
      </w:r>
      <w:r w:rsidRPr="003C626F">
        <w:rPr>
          <w:rFonts w:ascii="Times New Roman" w:hAnsi="Times New Roman" w:cs="Times New Roman"/>
          <w:spacing w:val="-1"/>
          <w:sz w:val="18"/>
        </w:rPr>
        <w:t xml:space="preserve"> </w:t>
      </w:r>
      <w:r w:rsidRPr="003C626F">
        <w:rPr>
          <w:rFonts w:ascii="Times New Roman" w:hAnsi="Times New Roman" w:cs="Times New Roman"/>
          <w:sz w:val="18"/>
        </w:rPr>
        <w:t>and</w:t>
      </w:r>
      <w:r w:rsidRPr="003C626F">
        <w:rPr>
          <w:rFonts w:ascii="Times New Roman" w:hAnsi="Times New Roman" w:cs="Times New Roman"/>
          <w:spacing w:val="-1"/>
          <w:sz w:val="18"/>
        </w:rPr>
        <w:t xml:space="preserve"> </w:t>
      </w:r>
      <w:r w:rsidRPr="003C626F">
        <w:rPr>
          <w:rFonts w:ascii="Times New Roman" w:hAnsi="Times New Roman" w:cs="Times New Roman"/>
          <w:sz w:val="18"/>
        </w:rPr>
        <w:t>dilemma. Ultimately, this study contributes</w:t>
      </w:r>
      <w:r w:rsidRPr="003C626F">
        <w:rPr>
          <w:rFonts w:ascii="Times New Roman" w:hAnsi="Times New Roman" w:cs="Times New Roman"/>
          <w:spacing w:val="-1"/>
          <w:sz w:val="18"/>
        </w:rPr>
        <w:t xml:space="preserve"> </w:t>
      </w:r>
      <w:r w:rsidRPr="003C626F">
        <w:rPr>
          <w:rFonts w:ascii="Times New Roman" w:hAnsi="Times New Roman" w:cs="Times New Roman"/>
          <w:sz w:val="18"/>
        </w:rPr>
        <w:t>to</w:t>
      </w:r>
      <w:r w:rsidRPr="003C626F">
        <w:rPr>
          <w:rFonts w:ascii="Times New Roman" w:hAnsi="Times New Roman" w:cs="Times New Roman"/>
          <w:spacing w:val="-3"/>
          <w:sz w:val="18"/>
        </w:rPr>
        <w:t xml:space="preserve"> </w:t>
      </w:r>
      <w:r w:rsidRPr="003C626F">
        <w:rPr>
          <w:rFonts w:ascii="Times New Roman" w:hAnsi="Times New Roman" w:cs="Times New Roman"/>
          <w:sz w:val="18"/>
        </w:rPr>
        <w:t>providing a</w:t>
      </w:r>
      <w:r w:rsidRPr="003C626F">
        <w:rPr>
          <w:rFonts w:ascii="Times New Roman" w:hAnsi="Times New Roman" w:cs="Times New Roman"/>
          <w:spacing w:val="-2"/>
          <w:sz w:val="18"/>
        </w:rPr>
        <w:t xml:space="preserve"> </w:t>
      </w:r>
      <w:r w:rsidRPr="003C626F">
        <w:rPr>
          <w:rFonts w:ascii="Times New Roman" w:hAnsi="Times New Roman" w:cs="Times New Roman"/>
          <w:sz w:val="18"/>
        </w:rPr>
        <w:t>fresh perspective</w:t>
      </w:r>
      <w:r w:rsidRPr="003C626F">
        <w:rPr>
          <w:rFonts w:ascii="Times New Roman" w:hAnsi="Times New Roman" w:cs="Times New Roman"/>
          <w:spacing w:val="-2"/>
          <w:sz w:val="18"/>
        </w:rPr>
        <w:t xml:space="preserve"> </w:t>
      </w:r>
      <w:r w:rsidRPr="003C626F">
        <w:rPr>
          <w:rFonts w:ascii="Times New Roman" w:hAnsi="Times New Roman" w:cs="Times New Roman"/>
          <w:sz w:val="18"/>
        </w:rPr>
        <w:t>on the integration</w:t>
      </w:r>
      <w:r w:rsidRPr="003C626F">
        <w:rPr>
          <w:rFonts w:ascii="Times New Roman" w:hAnsi="Times New Roman" w:cs="Times New Roman"/>
          <w:spacing w:val="-1"/>
          <w:sz w:val="18"/>
        </w:rPr>
        <w:t xml:space="preserve"> </w:t>
      </w:r>
      <w:r w:rsidRPr="003C626F">
        <w:rPr>
          <w:rFonts w:ascii="Times New Roman" w:hAnsi="Times New Roman" w:cs="Times New Roman"/>
          <w:sz w:val="18"/>
        </w:rPr>
        <w:t>of</w:t>
      </w:r>
      <w:r w:rsidRPr="003C626F">
        <w:rPr>
          <w:rFonts w:ascii="Times New Roman" w:hAnsi="Times New Roman" w:cs="Times New Roman"/>
          <w:spacing w:val="-1"/>
          <w:sz w:val="18"/>
        </w:rPr>
        <w:t xml:space="preserve"> </w:t>
      </w:r>
      <w:r w:rsidRPr="003C626F">
        <w:rPr>
          <w:rFonts w:ascii="Times New Roman" w:hAnsi="Times New Roman" w:cs="Times New Roman"/>
          <w:sz w:val="18"/>
        </w:rPr>
        <w:t>AI in the</w:t>
      </w:r>
      <w:r w:rsidRPr="003C626F">
        <w:rPr>
          <w:rFonts w:ascii="Times New Roman" w:hAnsi="Times New Roman" w:cs="Times New Roman"/>
          <w:spacing w:val="-2"/>
          <w:sz w:val="18"/>
        </w:rPr>
        <w:t xml:space="preserve"> </w:t>
      </w:r>
      <w:r w:rsidRPr="003C626F">
        <w:rPr>
          <w:rFonts w:ascii="Times New Roman" w:hAnsi="Times New Roman" w:cs="Times New Roman"/>
          <w:sz w:val="18"/>
        </w:rPr>
        <w:t>public policy</w:t>
      </w:r>
      <w:r w:rsidRPr="003C626F">
        <w:rPr>
          <w:rFonts w:ascii="Times New Roman" w:hAnsi="Times New Roman" w:cs="Times New Roman"/>
          <w:spacing w:val="-1"/>
          <w:sz w:val="18"/>
        </w:rPr>
        <w:t xml:space="preserve"> </w:t>
      </w:r>
      <w:r w:rsidRPr="003C626F">
        <w:rPr>
          <w:rFonts w:ascii="Times New Roman" w:hAnsi="Times New Roman" w:cs="Times New Roman"/>
          <w:sz w:val="18"/>
        </w:rPr>
        <w:t>sector, demonstrating how its</w:t>
      </w:r>
      <w:r w:rsidRPr="003C626F">
        <w:rPr>
          <w:rFonts w:ascii="Times New Roman" w:hAnsi="Times New Roman" w:cs="Times New Roman"/>
          <w:spacing w:val="-2"/>
          <w:sz w:val="18"/>
        </w:rPr>
        <w:t xml:space="preserve"> </w:t>
      </w:r>
      <w:r w:rsidRPr="003C626F">
        <w:rPr>
          <w:rFonts w:ascii="Times New Roman" w:hAnsi="Times New Roman" w:cs="Times New Roman"/>
          <w:sz w:val="18"/>
        </w:rPr>
        <w:t>presence can align with the</w:t>
      </w:r>
      <w:r w:rsidRPr="003C626F">
        <w:rPr>
          <w:rFonts w:ascii="Times New Roman" w:hAnsi="Times New Roman" w:cs="Times New Roman"/>
          <w:spacing w:val="-4"/>
          <w:sz w:val="18"/>
        </w:rPr>
        <w:t xml:space="preserve"> </w:t>
      </w:r>
      <w:r w:rsidRPr="003C626F">
        <w:rPr>
          <w:rFonts w:ascii="Times New Roman" w:hAnsi="Times New Roman" w:cs="Times New Roman"/>
          <w:sz w:val="18"/>
        </w:rPr>
        <w:t>iterative</w:t>
      </w:r>
      <w:r w:rsidRPr="003C626F">
        <w:rPr>
          <w:rFonts w:ascii="Times New Roman" w:hAnsi="Times New Roman" w:cs="Times New Roman"/>
          <w:spacing w:val="-3"/>
          <w:sz w:val="18"/>
        </w:rPr>
        <w:t xml:space="preserve"> </w:t>
      </w:r>
      <w:r w:rsidRPr="003C626F">
        <w:rPr>
          <w:rFonts w:ascii="Times New Roman" w:hAnsi="Times New Roman" w:cs="Times New Roman"/>
          <w:sz w:val="18"/>
        </w:rPr>
        <w:t>and</w:t>
      </w:r>
      <w:r w:rsidRPr="003C626F">
        <w:rPr>
          <w:rFonts w:ascii="Times New Roman" w:hAnsi="Times New Roman" w:cs="Times New Roman"/>
          <w:spacing w:val="-1"/>
          <w:sz w:val="18"/>
        </w:rPr>
        <w:t xml:space="preserve"> </w:t>
      </w:r>
      <w:r w:rsidRPr="003C626F">
        <w:rPr>
          <w:rFonts w:ascii="Times New Roman" w:hAnsi="Times New Roman" w:cs="Times New Roman"/>
          <w:sz w:val="18"/>
        </w:rPr>
        <w:t>non-linear</w:t>
      </w:r>
      <w:r w:rsidRPr="003C626F">
        <w:rPr>
          <w:rFonts w:ascii="Times New Roman" w:hAnsi="Times New Roman" w:cs="Times New Roman"/>
          <w:spacing w:val="-1"/>
          <w:sz w:val="18"/>
        </w:rPr>
        <w:t xml:space="preserve"> </w:t>
      </w:r>
      <w:r w:rsidRPr="003C626F">
        <w:rPr>
          <w:rFonts w:ascii="Times New Roman" w:hAnsi="Times New Roman" w:cs="Times New Roman"/>
          <w:sz w:val="18"/>
        </w:rPr>
        <w:t>nature</w:t>
      </w:r>
      <w:r w:rsidRPr="003C626F">
        <w:rPr>
          <w:rFonts w:ascii="Times New Roman" w:hAnsi="Times New Roman" w:cs="Times New Roman"/>
          <w:spacing w:val="-6"/>
          <w:sz w:val="18"/>
        </w:rPr>
        <w:t xml:space="preserve"> </w:t>
      </w:r>
      <w:r w:rsidRPr="003C626F">
        <w:rPr>
          <w:rFonts w:ascii="Times New Roman" w:hAnsi="Times New Roman" w:cs="Times New Roman"/>
          <w:sz w:val="18"/>
        </w:rPr>
        <w:t>of</w:t>
      </w:r>
      <w:r w:rsidRPr="003C626F">
        <w:rPr>
          <w:rFonts w:ascii="Times New Roman" w:hAnsi="Times New Roman" w:cs="Times New Roman"/>
          <w:spacing w:val="-1"/>
          <w:sz w:val="18"/>
        </w:rPr>
        <w:t xml:space="preserve"> </w:t>
      </w:r>
      <w:r w:rsidRPr="003C626F">
        <w:rPr>
          <w:rFonts w:ascii="Times New Roman" w:hAnsi="Times New Roman" w:cs="Times New Roman"/>
          <w:sz w:val="18"/>
        </w:rPr>
        <w:t>the</w:t>
      </w:r>
      <w:r w:rsidRPr="003C626F">
        <w:rPr>
          <w:rFonts w:ascii="Times New Roman" w:hAnsi="Times New Roman" w:cs="Times New Roman"/>
          <w:spacing w:val="-4"/>
          <w:sz w:val="18"/>
        </w:rPr>
        <w:t xml:space="preserve"> </w:t>
      </w:r>
      <w:r w:rsidRPr="003C626F">
        <w:rPr>
          <w:rFonts w:ascii="Times New Roman" w:hAnsi="Times New Roman" w:cs="Times New Roman"/>
          <w:sz w:val="18"/>
        </w:rPr>
        <w:t>policy</w:t>
      </w:r>
      <w:r w:rsidRPr="003C626F">
        <w:rPr>
          <w:rFonts w:ascii="Times New Roman" w:hAnsi="Times New Roman" w:cs="Times New Roman"/>
          <w:spacing w:val="-2"/>
          <w:sz w:val="18"/>
        </w:rPr>
        <w:t xml:space="preserve"> </w:t>
      </w:r>
      <w:r w:rsidRPr="003C626F">
        <w:rPr>
          <w:rFonts w:ascii="Times New Roman" w:hAnsi="Times New Roman" w:cs="Times New Roman"/>
          <w:sz w:val="18"/>
        </w:rPr>
        <w:t>process, as</w:t>
      </w:r>
      <w:r w:rsidRPr="003C626F">
        <w:rPr>
          <w:rFonts w:ascii="Times New Roman" w:hAnsi="Times New Roman" w:cs="Times New Roman"/>
          <w:spacing w:val="-4"/>
          <w:sz w:val="18"/>
        </w:rPr>
        <w:t xml:space="preserve"> </w:t>
      </w:r>
      <w:r w:rsidRPr="003C626F">
        <w:rPr>
          <w:rFonts w:ascii="Times New Roman" w:hAnsi="Times New Roman" w:cs="Times New Roman"/>
          <w:sz w:val="18"/>
        </w:rPr>
        <w:t>well as</w:t>
      </w:r>
      <w:r w:rsidRPr="003C626F">
        <w:rPr>
          <w:rFonts w:ascii="Times New Roman" w:hAnsi="Times New Roman" w:cs="Times New Roman"/>
          <w:spacing w:val="-4"/>
          <w:sz w:val="18"/>
        </w:rPr>
        <w:t xml:space="preserve"> </w:t>
      </w:r>
      <w:r w:rsidRPr="003C626F">
        <w:rPr>
          <w:rFonts w:ascii="Times New Roman" w:hAnsi="Times New Roman" w:cs="Times New Roman"/>
          <w:sz w:val="18"/>
        </w:rPr>
        <w:t>address</w:t>
      </w:r>
      <w:r w:rsidRPr="003C626F">
        <w:rPr>
          <w:rFonts w:ascii="Times New Roman" w:hAnsi="Times New Roman" w:cs="Times New Roman"/>
          <w:spacing w:val="-4"/>
          <w:sz w:val="18"/>
        </w:rPr>
        <w:t xml:space="preserve"> </w:t>
      </w:r>
      <w:r w:rsidRPr="003C626F">
        <w:rPr>
          <w:rFonts w:ascii="Times New Roman" w:hAnsi="Times New Roman" w:cs="Times New Roman"/>
          <w:sz w:val="18"/>
        </w:rPr>
        <w:t>the</w:t>
      </w:r>
      <w:r w:rsidRPr="003C626F">
        <w:rPr>
          <w:rFonts w:ascii="Times New Roman" w:hAnsi="Times New Roman" w:cs="Times New Roman"/>
          <w:spacing w:val="-3"/>
          <w:sz w:val="18"/>
        </w:rPr>
        <w:t xml:space="preserve"> </w:t>
      </w:r>
      <w:r w:rsidRPr="003C626F">
        <w:rPr>
          <w:rFonts w:ascii="Times New Roman" w:hAnsi="Times New Roman" w:cs="Times New Roman"/>
          <w:sz w:val="18"/>
        </w:rPr>
        <w:t>fundamental ethical</w:t>
      </w:r>
      <w:r w:rsidRPr="003C626F">
        <w:rPr>
          <w:rFonts w:ascii="Times New Roman" w:hAnsi="Times New Roman" w:cs="Times New Roman"/>
          <w:spacing w:val="-3"/>
          <w:sz w:val="18"/>
        </w:rPr>
        <w:t xml:space="preserve"> </w:t>
      </w:r>
      <w:r w:rsidRPr="003C626F">
        <w:rPr>
          <w:rFonts w:ascii="Times New Roman" w:hAnsi="Times New Roman" w:cs="Times New Roman"/>
          <w:sz w:val="18"/>
        </w:rPr>
        <w:t>issues</w:t>
      </w:r>
      <w:r w:rsidRPr="003C626F">
        <w:rPr>
          <w:rFonts w:ascii="Times New Roman" w:hAnsi="Times New Roman" w:cs="Times New Roman"/>
          <w:spacing w:val="-4"/>
          <w:sz w:val="18"/>
        </w:rPr>
        <w:t xml:space="preserve"> </w:t>
      </w:r>
      <w:r w:rsidRPr="003C626F">
        <w:rPr>
          <w:rFonts w:ascii="Times New Roman" w:hAnsi="Times New Roman" w:cs="Times New Roman"/>
          <w:sz w:val="18"/>
        </w:rPr>
        <w:t xml:space="preserve">in its </w:t>
      </w:r>
      <w:r w:rsidRPr="003C626F">
        <w:rPr>
          <w:rFonts w:ascii="Times New Roman" w:hAnsi="Times New Roman" w:cs="Times New Roman"/>
          <w:spacing w:val="-2"/>
          <w:sz w:val="18"/>
        </w:rPr>
        <w:t>application.</w:t>
      </w:r>
    </w:p>
    <w:p w14:paraId="6C6CBDD0" w14:textId="77777777" w:rsidR="004C6797" w:rsidRPr="003C626F" w:rsidRDefault="004C6797" w:rsidP="004C6797">
      <w:pPr>
        <w:spacing w:before="205"/>
        <w:ind w:left="568"/>
        <w:rPr>
          <w:rFonts w:ascii="Times New Roman" w:hAnsi="Times New Roman" w:cs="Times New Roman"/>
          <w:i/>
          <w:sz w:val="18"/>
        </w:rPr>
      </w:pPr>
      <w:r w:rsidRPr="003C626F">
        <w:rPr>
          <w:rFonts w:ascii="Times New Roman" w:hAnsi="Times New Roman" w:cs="Times New Roman"/>
          <w:b/>
          <w:i/>
          <w:sz w:val="18"/>
        </w:rPr>
        <w:t>Keywords:</w:t>
      </w:r>
      <w:r w:rsidRPr="003C626F">
        <w:rPr>
          <w:rFonts w:ascii="Times New Roman" w:hAnsi="Times New Roman" w:cs="Times New Roman"/>
          <w:b/>
          <w:i/>
          <w:spacing w:val="-6"/>
          <w:sz w:val="18"/>
        </w:rPr>
        <w:t xml:space="preserve"> </w:t>
      </w:r>
      <w:r w:rsidRPr="003C626F">
        <w:rPr>
          <w:rFonts w:ascii="Times New Roman" w:hAnsi="Times New Roman" w:cs="Times New Roman"/>
          <w:i/>
          <w:sz w:val="18"/>
        </w:rPr>
        <w:t>Artificial</w:t>
      </w:r>
      <w:r w:rsidRPr="003C626F">
        <w:rPr>
          <w:rFonts w:ascii="Times New Roman" w:hAnsi="Times New Roman" w:cs="Times New Roman"/>
          <w:i/>
          <w:spacing w:val="-4"/>
          <w:sz w:val="18"/>
        </w:rPr>
        <w:t xml:space="preserve"> </w:t>
      </w:r>
      <w:r w:rsidRPr="003C626F">
        <w:rPr>
          <w:rFonts w:ascii="Times New Roman" w:hAnsi="Times New Roman" w:cs="Times New Roman"/>
          <w:i/>
          <w:sz w:val="18"/>
        </w:rPr>
        <w:t>Intelligence,</w:t>
      </w:r>
      <w:r w:rsidRPr="003C626F">
        <w:rPr>
          <w:rFonts w:ascii="Times New Roman" w:hAnsi="Times New Roman" w:cs="Times New Roman"/>
          <w:i/>
          <w:spacing w:val="-5"/>
          <w:sz w:val="18"/>
        </w:rPr>
        <w:t xml:space="preserve"> </w:t>
      </w:r>
      <w:r w:rsidRPr="003C626F">
        <w:rPr>
          <w:rFonts w:ascii="Times New Roman" w:hAnsi="Times New Roman" w:cs="Times New Roman"/>
          <w:i/>
          <w:sz w:val="18"/>
        </w:rPr>
        <w:t>Efficiency,</w:t>
      </w:r>
      <w:r w:rsidRPr="003C626F">
        <w:rPr>
          <w:rFonts w:ascii="Times New Roman" w:hAnsi="Times New Roman" w:cs="Times New Roman"/>
          <w:i/>
          <w:spacing w:val="1"/>
          <w:sz w:val="18"/>
        </w:rPr>
        <w:t xml:space="preserve"> </w:t>
      </w:r>
      <w:r w:rsidRPr="003C626F">
        <w:rPr>
          <w:rFonts w:ascii="Times New Roman" w:hAnsi="Times New Roman" w:cs="Times New Roman"/>
          <w:i/>
          <w:sz w:val="18"/>
        </w:rPr>
        <w:t>Ethics,</w:t>
      </w:r>
      <w:r w:rsidRPr="003C626F">
        <w:rPr>
          <w:rFonts w:ascii="Times New Roman" w:hAnsi="Times New Roman" w:cs="Times New Roman"/>
          <w:i/>
          <w:spacing w:val="-2"/>
          <w:sz w:val="18"/>
        </w:rPr>
        <w:t xml:space="preserve"> </w:t>
      </w:r>
      <w:r w:rsidRPr="003C626F">
        <w:rPr>
          <w:rFonts w:ascii="Times New Roman" w:hAnsi="Times New Roman" w:cs="Times New Roman"/>
          <w:i/>
          <w:sz w:val="18"/>
        </w:rPr>
        <w:t>Public</w:t>
      </w:r>
      <w:r w:rsidRPr="003C626F">
        <w:rPr>
          <w:rFonts w:ascii="Times New Roman" w:hAnsi="Times New Roman" w:cs="Times New Roman"/>
          <w:i/>
          <w:spacing w:val="-6"/>
          <w:sz w:val="18"/>
        </w:rPr>
        <w:t xml:space="preserve"> </w:t>
      </w:r>
      <w:r w:rsidRPr="003C626F">
        <w:rPr>
          <w:rFonts w:ascii="Times New Roman" w:hAnsi="Times New Roman" w:cs="Times New Roman"/>
          <w:i/>
          <w:sz w:val="18"/>
        </w:rPr>
        <w:t>Policy,</w:t>
      </w:r>
      <w:r w:rsidRPr="003C626F">
        <w:rPr>
          <w:rFonts w:ascii="Times New Roman" w:hAnsi="Times New Roman" w:cs="Times New Roman"/>
          <w:i/>
          <w:spacing w:val="-5"/>
          <w:sz w:val="18"/>
        </w:rPr>
        <w:t xml:space="preserve"> </w:t>
      </w:r>
      <w:r w:rsidRPr="003C626F">
        <w:rPr>
          <w:rFonts w:ascii="Times New Roman" w:hAnsi="Times New Roman" w:cs="Times New Roman"/>
          <w:i/>
          <w:sz w:val="18"/>
        </w:rPr>
        <w:t>Public</w:t>
      </w:r>
      <w:r w:rsidRPr="003C626F">
        <w:rPr>
          <w:rFonts w:ascii="Times New Roman" w:hAnsi="Times New Roman" w:cs="Times New Roman"/>
          <w:i/>
          <w:spacing w:val="-3"/>
          <w:sz w:val="18"/>
        </w:rPr>
        <w:t xml:space="preserve"> </w:t>
      </w:r>
      <w:r w:rsidRPr="003C626F">
        <w:rPr>
          <w:rFonts w:ascii="Times New Roman" w:hAnsi="Times New Roman" w:cs="Times New Roman"/>
          <w:i/>
          <w:sz w:val="18"/>
        </w:rPr>
        <w:t>Policy</w:t>
      </w:r>
      <w:r w:rsidRPr="003C626F">
        <w:rPr>
          <w:rFonts w:ascii="Times New Roman" w:hAnsi="Times New Roman" w:cs="Times New Roman"/>
          <w:i/>
          <w:spacing w:val="-3"/>
          <w:sz w:val="18"/>
        </w:rPr>
        <w:t xml:space="preserve"> </w:t>
      </w:r>
      <w:r w:rsidRPr="003C626F">
        <w:rPr>
          <w:rFonts w:ascii="Times New Roman" w:hAnsi="Times New Roman" w:cs="Times New Roman"/>
          <w:i/>
          <w:spacing w:val="-2"/>
          <w:sz w:val="18"/>
        </w:rPr>
        <w:t>Cycle,</w:t>
      </w:r>
    </w:p>
    <w:p w14:paraId="22BACB67" w14:textId="77777777" w:rsidR="004C6797" w:rsidRPr="00CB77A7" w:rsidRDefault="004C6797" w:rsidP="008D1BEF">
      <w:pPr>
        <w:pStyle w:val="ListParagraph"/>
        <w:numPr>
          <w:ilvl w:val="0"/>
          <w:numId w:val="22"/>
        </w:numPr>
        <w:ind w:left="851" w:hanging="284"/>
        <w:rPr>
          <w:rFonts w:ascii="Times New Roman" w:hAnsi="Times New Roman" w:cs="Times New Roman"/>
          <w:b/>
          <w:bCs/>
          <w:sz w:val="24"/>
          <w:szCs w:val="24"/>
        </w:rPr>
      </w:pPr>
      <w:proofErr w:type="spellStart"/>
      <w:r w:rsidRPr="00CB77A7">
        <w:rPr>
          <w:rFonts w:ascii="Times New Roman" w:hAnsi="Times New Roman" w:cs="Times New Roman"/>
          <w:b/>
          <w:bCs/>
          <w:sz w:val="24"/>
          <w:szCs w:val="24"/>
        </w:rPr>
        <w:t>Introduction</w:t>
      </w:r>
      <w:proofErr w:type="spellEnd"/>
    </w:p>
    <w:p w14:paraId="7319E530" w14:textId="77777777" w:rsidR="004C6797" w:rsidRDefault="004C6797" w:rsidP="004C6797">
      <w:pPr>
        <w:pStyle w:val="BodyText"/>
        <w:spacing w:before="6"/>
        <w:rPr>
          <w:b/>
        </w:rPr>
      </w:pPr>
    </w:p>
    <w:p w14:paraId="437A5A2C" w14:textId="77777777" w:rsidR="004C6797" w:rsidRPr="003C626F" w:rsidRDefault="004C6797" w:rsidP="004C6797">
      <w:pPr>
        <w:pStyle w:val="BodyText"/>
        <w:ind w:left="568" w:right="133" w:firstLine="715"/>
        <w:jc w:val="both"/>
        <w:rPr>
          <w:rFonts w:ascii="Times New Roman" w:hAnsi="Times New Roman" w:cs="Times New Roman"/>
          <w:b/>
          <w:sz w:val="20"/>
          <w:szCs w:val="20"/>
        </w:rPr>
      </w:pPr>
      <w:r w:rsidRPr="003C626F">
        <w:rPr>
          <w:rFonts w:ascii="Times New Roman" w:hAnsi="Times New Roman" w:cs="Times New Roman"/>
          <w:sz w:val="20"/>
          <w:szCs w:val="20"/>
        </w:rPr>
        <w:t xml:space="preserve">In today’s increasingly advanced world, filled with various dynamics, one thing we must understand together is that the innovations occurring in technology have visibly reshaped and reformed the landscape of our lives across various sectors, including in the field of public policy. For instance, the advent of social media, one of the most closely related technological products to our daily lives, according to </w:t>
      </w:r>
      <w:r w:rsidRPr="003C626F">
        <w:rPr>
          <w:rFonts w:ascii="Times New Roman" w:hAnsi="Times New Roman" w:cs="Times New Roman"/>
          <w:b/>
          <w:sz w:val="20"/>
          <w:szCs w:val="20"/>
        </w:rPr>
        <w:t>Sun &amp; Medaglia (2019)</w:t>
      </w:r>
      <w:r w:rsidRPr="003C626F">
        <w:rPr>
          <w:rFonts w:ascii="Times New Roman" w:hAnsi="Times New Roman" w:cs="Times New Roman"/>
          <w:sz w:val="20"/>
          <w:szCs w:val="20"/>
        </w:rPr>
        <w:t>, has provided wide access to the rapid dissemination of information and the ability to mobilize public opinion, which will significantly affect the political agendas being developed by political actors. Social media, as the authors argue, becomes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relevant</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source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data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for</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observing</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on-the-ground conditions.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ability to</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accurately analyze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trends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sentiments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through</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data</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analysis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will</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assist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policymakers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precisely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 xml:space="preserve">identifying emerging issues, which will later shape the public agenda </w:t>
      </w:r>
      <w:r w:rsidRPr="003C626F">
        <w:rPr>
          <w:rFonts w:ascii="Times New Roman" w:hAnsi="Times New Roman" w:cs="Times New Roman"/>
          <w:b/>
          <w:sz w:val="20"/>
          <w:szCs w:val="20"/>
        </w:rPr>
        <w:t>(Couture et al., 2023).</w:t>
      </w:r>
    </w:p>
    <w:p w14:paraId="47E22E03" w14:textId="77777777" w:rsidR="004C6797" w:rsidRPr="003C626F" w:rsidRDefault="004C6797" w:rsidP="004C6797">
      <w:pPr>
        <w:pStyle w:val="BodyText"/>
        <w:jc w:val="both"/>
        <w:rPr>
          <w:rFonts w:ascii="Times New Roman" w:hAnsi="Times New Roman" w:cs="Times New Roman"/>
          <w:b/>
          <w:sz w:val="20"/>
          <w:szCs w:val="20"/>
        </w:rPr>
      </w:pPr>
    </w:p>
    <w:p w14:paraId="29AAB5AC" w14:textId="130FDDBA" w:rsidR="004C6797" w:rsidRPr="003C626F" w:rsidRDefault="004C6797" w:rsidP="008D1BEF">
      <w:pPr>
        <w:pStyle w:val="BodyText"/>
        <w:ind w:left="568" w:right="132" w:firstLine="720"/>
        <w:jc w:val="both"/>
        <w:rPr>
          <w:rFonts w:ascii="Times New Roman" w:hAnsi="Times New Roman" w:cs="Times New Roman"/>
          <w:sz w:val="20"/>
          <w:szCs w:val="20"/>
        </w:rPr>
        <w:sectPr w:rsidR="004C6797" w:rsidRPr="003C626F" w:rsidSect="004C6797">
          <w:headerReference w:type="default" r:id="rId20"/>
          <w:type w:val="continuous"/>
          <w:pgSz w:w="11906" w:h="16838"/>
          <w:pgMar w:top="1440" w:right="1440" w:bottom="1440" w:left="1440" w:header="709" w:footer="709" w:gutter="0"/>
          <w:pgNumType w:start="0"/>
          <w:cols w:space="720"/>
        </w:sectPr>
      </w:pPr>
      <w:r w:rsidRPr="003C626F">
        <w:rPr>
          <w:rFonts w:ascii="Times New Roman" w:hAnsi="Times New Roman" w:cs="Times New Roman"/>
          <w:sz w:val="20"/>
          <w:szCs w:val="20"/>
        </w:rPr>
        <w:t>The presence of technology in public policy has increasingly opened up space for society to</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voice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their</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concerns.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Through</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technological</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advancements,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specifically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virtual</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spaces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created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and other</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products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like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online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consultation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platforms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electronic</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surveys,</w:t>
      </w:r>
      <w:r w:rsidRPr="003C626F">
        <w:rPr>
          <w:rFonts w:ascii="Times New Roman" w:hAnsi="Times New Roman" w:cs="Times New Roman"/>
          <w:spacing w:val="-6"/>
          <w:sz w:val="20"/>
          <w:szCs w:val="20"/>
        </w:rPr>
        <w:t xml:space="preserve"> </w:t>
      </w:r>
      <w:proofErr w:type="spellStart"/>
      <w:r w:rsidRPr="003C626F">
        <w:rPr>
          <w:rFonts w:ascii="Times New Roman" w:hAnsi="Times New Roman" w:cs="Times New Roman"/>
          <w:b/>
          <w:sz w:val="20"/>
          <w:szCs w:val="20"/>
        </w:rPr>
        <w:t>Firman</w:t>
      </w:r>
      <w:proofErr w:type="spellEnd"/>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et</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al.</w:t>
      </w:r>
      <w:r w:rsidRPr="003C626F">
        <w:rPr>
          <w:rFonts w:ascii="Times New Roman" w:hAnsi="Times New Roman" w:cs="Times New Roman"/>
          <w:b/>
          <w:spacing w:val="-7"/>
          <w:sz w:val="20"/>
          <w:szCs w:val="20"/>
        </w:rPr>
        <w:t xml:space="preserve"> </w:t>
      </w:r>
      <w:r w:rsidRPr="003C626F">
        <w:rPr>
          <w:rFonts w:ascii="Times New Roman" w:hAnsi="Times New Roman" w:cs="Times New Roman"/>
          <w:b/>
          <w:sz w:val="20"/>
          <w:szCs w:val="20"/>
        </w:rPr>
        <w:t>(2024)</w:t>
      </w:r>
      <w:r w:rsidRPr="003C626F">
        <w:rPr>
          <w:rFonts w:ascii="Times New Roman" w:hAnsi="Times New Roman" w:cs="Times New Roman"/>
          <w:b/>
          <w:spacing w:val="-4"/>
          <w:sz w:val="20"/>
          <w:szCs w:val="20"/>
        </w:rPr>
        <w:t xml:space="preserve"> </w:t>
      </w:r>
      <w:r w:rsidRPr="003C626F">
        <w:rPr>
          <w:rFonts w:ascii="Times New Roman" w:hAnsi="Times New Roman" w:cs="Times New Roman"/>
          <w:sz w:val="20"/>
          <w:szCs w:val="20"/>
        </w:rPr>
        <w:t xml:space="preserve">argue that these can effectively facilitate public participation. </w:t>
      </w:r>
      <w:r w:rsidRPr="003C626F">
        <w:rPr>
          <w:rFonts w:ascii="Times New Roman" w:hAnsi="Times New Roman" w:cs="Times New Roman"/>
          <w:b/>
          <w:sz w:val="20"/>
          <w:szCs w:val="20"/>
        </w:rPr>
        <w:t xml:space="preserve">Schroth et al. (2020) </w:t>
      </w:r>
      <w:r w:rsidRPr="003C626F">
        <w:rPr>
          <w:rFonts w:ascii="Times New Roman" w:hAnsi="Times New Roman" w:cs="Times New Roman"/>
          <w:sz w:val="20"/>
          <w:szCs w:val="20"/>
        </w:rPr>
        <w:t>emphasize that participatory</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agenda-setting,</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which</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involves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utilizing</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technology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engaging</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various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stakeholders</w:t>
      </w:r>
    </w:p>
    <w:p w14:paraId="1508624D" w14:textId="77777777" w:rsidR="004C6797" w:rsidRPr="003C626F" w:rsidRDefault="004C6797" w:rsidP="004C6797">
      <w:pPr>
        <w:pStyle w:val="BodyText"/>
        <w:ind w:left="568" w:right="128"/>
        <w:jc w:val="both"/>
        <w:rPr>
          <w:rFonts w:ascii="Times New Roman" w:hAnsi="Times New Roman" w:cs="Times New Roman"/>
          <w:b/>
          <w:sz w:val="20"/>
          <w:szCs w:val="20"/>
        </w:rPr>
      </w:pPr>
      <w:r w:rsidRPr="003C626F">
        <w:rPr>
          <w:rFonts w:ascii="Times New Roman" w:hAnsi="Times New Roman" w:cs="Times New Roman"/>
          <w:sz w:val="20"/>
          <w:szCs w:val="20"/>
        </w:rPr>
        <w:t>related to the public policies to be implemented, has proven to strengthen the legitimacy and responsiveness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these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integration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input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through</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these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digital</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spaces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enables the government to implement more accurate and relevant public policies that align with the needs and preferences of the society they govern, ultimately promoting a more democratic governance structure</w:t>
      </w:r>
      <w:r w:rsidRPr="003C626F">
        <w:rPr>
          <w:rFonts w:ascii="Times New Roman" w:hAnsi="Times New Roman" w:cs="Times New Roman"/>
          <w:spacing w:val="-13"/>
          <w:sz w:val="20"/>
          <w:szCs w:val="20"/>
        </w:rPr>
        <w:t xml:space="preserve"> </w:t>
      </w:r>
      <w:r w:rsidRPr="003C626F">
        <w:rPr>
          <w:rFonts w:ascii="Times New Roman" w:hAnsi="Times New Roman" w:cs="Times New Roman"/>
          <w:b/>
          <w:sz w:val="20"/>
          <w:szCs w:val="20"/>
        </w:rPr>
        <w:t>(Rosa</w:t>
      </w:r>
      <w:r w:rsidRPr="003C626F">
        <w:rPr>
          <w:rFonts w:ascii="Times New Roman" w:hAnsi="Times New Roman" w:cs="Times New Roman"/>
          <w:b/>
          <w:spacing w:val="-12"/>
          <w:sz w:val="20"/>
          <w:szCs w:val="20"/>
        </w:rPr>
        <w:t xml:space="preserve"> </w:t>
      </w:r>
      <w:r w:rsidRPr="003C626F">
        <w:rPr>
          <w:rFonts w:ascii="Times New Roman" w:hAnsi="Times New Roman" w:cs="Times New Roman"/>
          <w:b/>
          <w:sz w:val="20"/>
          <w:szCs w:val="20"/>
        </w:rPr>
        <w:t>et</w:t>
      </w:r>
      <w:r w:rsidRPr="003C626F">
        <w:rPr>
          <w:rFonts w:ascii="Times New Roman" w:hAnsi="Times New Roman" w:cs="Times New Roman"/>
          <w:b/>
          <w:spacing w:val="-13"/>
          <w:sz w:val="20"/>
          <w:szCs w:val="20"/>
        </w:rPr>
        <w:t xml:space="preserve"> </w:t>
      </w:r>
      <w:r w:rsidRPr="003C626F">
        <w:rPr>
          <w:rFonts w:ascii="Times New Roman" w:hAnsi="Times New Roman" w:cs="Times New Roman"/>
          <w:b/>
          <w:sz w:val="20"/>
          <w:szCs w:val="20"/>
        </w:rPr>
        <w:t>al.,</w:t>
      </w:r>
      <w:r w:rsidRPr="003C626F">
        <w:rPr>
          <w:rFonts w:ascii="Times New Roman" w:hAnsi="Times New Roman" w:cs="Times New Roman"/>
          <w:b/>
          <w:spacing w:val="-12"/>
          <w:sz w:val="20"/>
          <w:szCs w:val="20"/>
        </w:rPr>
        <w:t xml:space="preserve"> </w:t>
      </w:r>
      <w:r w:rsidRPr="003C626F">
        <w:rPr>
          <w:rFonts w:ascii="Times New Roman" w:hAnsi="Times New Roman" w:cs="Times New Roman"/>
          <w:b/>
          <w:sz w:val="20"/>
          <w:szCs w:val="20"/>
        </w:rPr>
        <w:t>2018</w:t>
      </w:r>
      <w:r w:rsidRPr="003C626F">
        <w:rPr>
          <w:rFonts w:ascii="Times New Roman" w:hAnsi="Times New Roman" w:cs="Times New Roman"/>
          <w:sz w:val="20"/>
          <w:szCs w:val="20"/>
        </w:rPr>
        <w: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Furthermore,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technology</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also</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enhances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effectiveness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efficiency of decision-making processes. The capability of technology to collect and analyze data enables decision-makers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base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their</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decisions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data</w:t>
      </w:r>
      <w:r w:rsidRPr="003C626F">
        <w:rPr>
          <w:rFonts w:ascii="Times New Roman" w:hAnsi="Times New Roman" w:cs="Times New Roman"/>
          <w:spacing w:val="-2"/>
          <w:sz w:val="20"/>
          <w:szCs w:val="20"/>
        </w:rPr>
        <w:t xml:space="preserve"> </w:t>
      </w:r>
      <w:r w:rsidRPr="003C626F">
        <w:rPr>
          <w:rFonts w:ascii="Times New Roman" w:hAnsi="Times New Roman" w:cs="Times New Roman"/>
          <w:b/>
          <w:sz w:val="20"/>
          <w:szCs w:val="20"/>
        </w:rPr>
        <w:t xml:space="preserve">(Tilahun et al., 2015). </w:t>
      </w:r>
      <w:r w:rsidRPr="003C626F">
        <w:rPr>
          <w:rFonts w:ascii="Times New Roman" w:hAnsi="Times New Roman" w:cs="Times New Roman"/>
          <w:sz w:val="20"/>
          <w:szCs w:val="20"/>
        </w:rPr>
        <w:t>High- quality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services,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reflection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effective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governance,</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will</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significantly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influence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 xml:space="preserve">trust in the government </w:t>
      </w:r>
      <w:r w:rsidRPr="003C626F">
        <w:rPr>
          <w:rFonts w:ascii="Times New Roman" w:hAnsi="Times New Roman" w:cs="Times New Roman"/>
          <w:b/>
          <w:sz w:val="20"/>
          <w:szCs w:val="20"/>
        </w:rPr>
        <w:t>(</w:t>
      </w:r>
      <w:proofErr w:type="spellStart"/>
      <w:r w:rsidRPr="003C626F">
        <w:rPr>
          <w:rFonts w:ascii="Times New Roman" w:hAnsi="Times New Roman" w:cs="Times New Roman"/>
          <w:b/>
          <w:sz w:val="20"/>
          <w:szCs w:val="20"/>
        </w:rPr>
        <w:t>Chaeruddin</w:t>
      </w:r>
      <w:proofErr w:type="spellEnd"/>
      <w:r w:rsidRPr="003C626F">
        <w:rPr>
          <w:rFonts w:ascii="Times New Roman" w:hAnsi="Times New Roman" w:cs="Times New Roman"/>
          <w:b/>
          <w:sz w:val="20"/>
          <w:szCs w:val="20"/>
        </w:rPr>
        <w:t>, 2024).</w:t>
      </w:r>
    </w:p>
    <w:p w14:paraId="7DAFDD24" w14:textId="77777777" w:rsidR="004C6797" w:rsidRPr="003C626F" w:rsidRDefault="004C6797" w:rsidP="004C6797">
      <w:pPr>
        <w:pStyle w:val="BodyText"/>
        <w:jc w:val="both"/>
        <w:rPr>
          <w:rFonts w:ascii="Times New Roman" w:hAnsi="Times New Roman" w:cs="Times New Roman"/>
          <w:b/>
          <w:sz w:val="20"/>
          <w:szCs w:val="20"/>
        </w:rPr>
      </w:pPr>
    </w:p>
    <w:p w14:paraId="5EC39E9E" w14:textId="77777777" w:rsidR="004C6797" w:rsidRPr="003C626F" w:rsidRDefault="004C6797" w:rsidP="004C6797">
      <w:pPr>
        <w:pStyle w:val="BodyText"/>
        <w:ind w:left="568" w:right="134" w:firstLine="720"/>
        <w:jc w:val="both"/>
        <w:rPr>
          <w:rFonts w:ascii="Times New Roman" w:hAnsi="Times New Roman" w:cs="Times New Roman"/>
          <w:sz w:val="20"/>
          <w:szCs w:val="20"/>
        </w:rPr>
      </w:pPr>
      <w:r w:rsidRPr="003C626F">
        <w:rPr>
          <w:rFonts w:ascii="Times New Roman" w:hAnsi="Times New Roman" w:cs="Times New Roman"/>
          <w:sz w:val="20"/>
          <w:szCs w:val="20"/>
        </w:rPr>
        <w:t xml:space="preserve">When discussing technology, we cannot overlook one of its most impressive products today: artificial intelligence (AI). The presence of AI accelerates and intensifies the impact of technology in all areas, including public policy formulation and implementation. </w:t>
      </w:r>
      <w:r w:rsidRPr="003C626F">
        <w:rPr>
          <w:rFonts w:ascii="Times New Roman" w:hAnsi="Times New Roman" w:cs="Times New Roman"/>
          <w:b/>
          <w:sz w:val="20"/>
          <w:szCs w:val="20"/>
        </w:rPr>
        <w:t>Sun &amp; Medaglia (2019)</w:t>
      </w:r>
      <w:r w:rsidRPr="003C626F">
        <w:rPr>
          <w:rFonts w:ascii="Times New Roman" w:hAnsi="Times New Roman" w:cs="Times New Roman"/>
          <w:b/>
          <w:spacing w:val="-4"/>
          <w:sz w:val="20"/>
          <w:szCs w:val="20"/>
        </w:rPr>
        <w:t xml:space="preserve"> </w:t>
      </w:r>
      <w:r w:rsidRPr="003C626F">
        <w:rPr>
          <w:rFonts w:ascii="Times New Roman" w:hAnsi="Times New Roman" w:cs="Times New Roman"/>
          <w:sz w:val="20"/>
          <w:szCs w:val="20"/>
        </w:rPr>
        <w:t>argue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automate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cognitive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tasks,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improve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predictive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capabilities,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expedite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and enhance service delivery in public administration processes, ultimately leading to significant improvements in government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efficiency and effectiveness. The utilization and maximization of AI in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 public sector</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hold</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substantial</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potential</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enhance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accelerate decision-making</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processes, assist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service</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delivery,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address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various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complex</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social</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6"/>
          <w:sz w:val="20"/>
          <w:szCs w:val="20"/>
        </w:rPr>
        <w:t xml:space="preserve"> </w:t>
      </w:r>
      <w:r w:rsidRPr="003C626F">
        <w:rPr>
          <w:rFonts w:ascii="Times New Roman" w:hAnsi="Times New Roman" w:cs="Times New Roman"/>
          <w:b/>
          <w:sz w:val="20"/>
          <w:szCs w:val="20"/>
        </w:rPr>
        <w:t>(Wirtz</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et</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al.,</w:t>
      </w:r>
      <w:r w:rsidRPr="003C626F">
        <w:rPr>
          <w:rFonts w:ascii="Times New Roman" w:hAnsi="Times New Roman" w:cs="Times New Roman"/>
          <w:b/>
          <w:spacing w:val="-4"/>
          <w:sz w:val="20"/>
          <w:szCs w:val="20"/>
        </w:rPr>
        <w:t xml:space="preserve"> </w:t>
      </w:r>
      <w:r w:rsidRPr="003C626F">
        <w:rPr>
          <w:rFonts w:ascii="Times New Roman" w:hAnsi="Times New Roman" w:cs="Times New Roman"/>
          <w:b/>
          <w:sz w:val="20"/>
          <w:szCs w:val="20"/>
        </w:rPr>
        <w:t>2018).</w:t>
      </w:r>
      <w:r w:rsidRPr="003C626F">
        <w:rPr>
          <w:rFonts w:ascii="Times New Roman" w:hAnsi="Times New Roman" w:cs="Times New Roman"/>
          <w:b/>
          <w:spacing w:val="-4"/>
          <w:sz w:val="20"/>
          <w:szCs w:val="20"/>
        </w:rPr>
        <w:t xml:space="preserve"> </w:t>
      </w:r>
      <w:r w:rsidRPr="003C626F">
        <w:rPr>
          <w:rFonts w:ascii="Times New Roman" w:hAnsi="Times New Roman" w:cs="Times New Roman"/>
          <w:sz w:val="20"/>
          <w:szCs w:val="20"/>
        </w:rPr>
        <w:t xml:space="preserve">Moreover, AI can play a crucial role when governments face crises, such as the COVID-19 pandemic. According to </w:t>
      </w:r>
      <w:r w:rsidRPr="003C626F">
        <w:rPr>
          <w:rFonts w:ascii="Times New Roman" w:hAnsi="Times New Roman" w:cs="Times New Roman"/>
          <w:b/>
          <w:sz w:val="20"/>
          <w:szCs w:val="20"/>
        </w:rPr>
        <w:t>Katekar et al. (2023)</w:t>
      </w:r>
      <w:r w:rsidRPr="003C626F">
        <w:rPr>
          <w:rFonts w:ascii="Times New Roman" w:hAnsi="Times New Roman" w:cs="Times New Roman"/>
          <w:sz w:val="20"/>
          <w:szCs w:val="20"/>
        </w:rPr>
        <w:t>, AI played an essential role in improving COVID-19 management in India. AI applications, they argue, significantly improved disease surveillance, diagnosis,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treatment,</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value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creation.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Since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policymakers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face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rapidly</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evolving</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challenges daily, the potential of AI as a tool to support every stage of the policy formulation process cannot be overlooked and deserves serious attention.</w:t>
      </w:r>
    </w:p>
    <w:p w14:paraId="11A90D03" w14:textId="77777777" w:rsidR="004C6797" w:rsidRPr="003C626F" w:rsidRDefault="004C6797" w:rsidP="004C6797">
      <w:pPr>
        <w:pStyle w:val="BodyText"/>
        <w:jc w:val="both"/>
        <w:rPr>
          <w:rFonts w:ascii="Times New Roman" w:hAnsi="Times New Roman" w:cs="Times New Roman"/>
          <w:sz w:val="20"/>
          <w:szCs w:val="20"/>
        </w:rPr>
      </w:pPr>
    </w:p>
    <w:p w14:paraId="1D64D800" w14:textId="77777777" w:rsidR="004C6797" w:rsidRPr="003C626F" w:rsidRDefault="004C6797" w:rsidP="004C6797">
      <w:pPr>
        <w:pStyle w:val="BodyText"/>
        <w:ind w:left="568" w:right="133" w:firstLine="720"/>
        <w:jc w:val="both"/>
        <w:rPr>
          <w:rFonts w:ascii="Times New Roman" w:hAnsi="Times New Roman" w:cs="Times New Roman"/>
          <w:sz w:val="20"/>
          <w:szCs w:val="20"/>
        </w:rPr>
      </w:pPr>
      <w:r w:rsidRPr="003C626F">
        <w:rPr>
          <w:rFonts w:ascii="Times New Roman" w:hAnsi="Times New Roman" w:cs="Times New Roman"/>
          <w:sz w:val="20"/>
          <w:szCs w:val="20"/>
        </w:rPr>
        <w:t>One of the theoretical frameworks that can be used to examine the public policy formulation process is the Policy Cycle theory by William Dunn. William Dunn is widely recognized as one of the most influential public policy scholars, continuously contributing significantly</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development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field,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his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relevance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remaining</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intact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both</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past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 xml:space="preserve">and for the future </w:t>
      </w:r>
      <w:r w:rsidRPr="003C626F">
        <w:rPr>
          <w:rFonts w:ascii="Times New Roman" w:hAnsi="Times New Roman" w:cs="Times New Roman"/>
          <w:b/>
          <w:sz w:val="20"/>
          <w:szCs w:val="20"/>
        </w:rPr>
        <w:t>(Hanson et al., 2022</w:t>
      </w:r>
      <w:r w:rsidRPr="003C626F">
        <w:rPr>
          <w:rFonts w:ascii="Times New Roman" w:hAnsi="Times New Roman" w:cs="Times New Roman"/>
          <w:sz w:val="20"/>
          <w:szCs w:val="20"/>
        </w:rPr>
        <w:t xml:space="preserve">). Dunn provides a well-thought-out and proportional understanding of policy analysis. </w:t>
      </w:r>
      <w:r w:rsidRPr="003C626F">
        <w:rPr>
          <w:rFonts w:ascii="Times New Roman" w:hAnsi="Times New Roman" w:cs="Times New Roman"/>
          <w:b/>
          <w:sz w:val="20"/>
          <w:szCs w:val="20"/>
        </w:rPr>
        <w:t xml:space="preserve">Dunn (2017) </w:t>
      </w:r>
      <w:r w:rsidRPr="003C626F">
        <w:rPr>
          <w:rFonts w:ascii="Times New Roman" w:hAnsi="Times New Roman" w:cs="Times New Roman"/>
          <w:sz w:val="20"/>
          <w:szCs w:val="20"/>
        </w:rPr>
        <w:t>emphasizes that policy analysis, methodologically, is eclectic, meaning that practitioners have the freedom to choose from various scientific methods, both qualitative and quantitative, as long as the knowledge produced is reliable. In this context, policy analysis encompasses art, skill, and persuasion, all of which can be considered scientific, provided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they</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successfully</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generate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reliable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knowledge</w:t>
      </w:r>
      <w:r w:rsidRPr="003C626F">
        <w:rPr>
          <w:rFonts w:ascii="Times New Roman" w:hAnsi="Times New Roman" w:cs="Times New Roman"/>
          <w:spacing w:val="-4"/>
          <w:sz w:val="20"/>
          <w:szCs w:val="20"/>
        </w:rPr>
        <w:t xml:space="preserve"> </w:t>
      </w:r>
      <w:r w:rsidRPr="003C626F">
        <w:rPr>
          <w:rFonts w:ascii="Times New Roman" w:hAnsi="Times New Roman" w:cs="Times New Roman"/>
          <w:b/>
          <w:sz w:val="20"/>
          <w:szCs w:val="20"/>
        </w:rPr>
        <w:t>(Dunn,</w:t>
      </w:r>
      <w:r w:rsidRPr="003C626F">
        <w:rPr>
          <w:rFonts w:ascii="Times New Roman" w:hAnsi="Times New Roman" w:cs="Times New Roman"/>
          <w:b/>
          <w:spacing w:val="-1"/>
          <w:sz w:val="20"/>
          <w:szCs w:val="20"/>
        </w:rPr>
        <w:t xml:space="preserve"> </w:t>
      </w:r>
      <w:r w:rsidRPr="003C626F">
        <w:rPr>
          <w:rFonts w:ascii="Times New Roman" w:hAnsi="Times New Roman" w:cs="Times New Roman"/>
          <w:b/>
          <w:sz w:val="20"/>
          <w:szCs w:val="20"/>
        </w:rPr>
        <w:t>2017)</w:t>
      </w:r>
      <w:r w:rsidRPr="003C626F">
        <w:rPr>
          <w:rFonts w:ascii="Times New Roman" w:hAnsi="Times New Roman" w:cs="Times New Roman"/>
          <w:sz w:val="20"/>
          <w:szCs w:val="20"/>
        </w:rPr>
        <w: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Dunn's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framework</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public policy</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emphasizes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systematic</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approach,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analysis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evaluation</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processes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providing</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 structured understanding of how a policy is formulated, implemented, and evaluated.</w:t>
      </w:r>
    </w:p>
    <w:p w14:paraId="40BF3C69" w14:textId="77777777" w:rsidR="004C6797" w:rsidRPr="003C626F" w:rsidRDefault="004C6797" w:rsidP="004C6797">
      <w:pPr>
        <w:pStyle w:val="BodyText"/>
        <w:jc w:val="both"/>
        <w:rPr>
          <w:rFonts w:ascii="Times New Roman" w:hAnsi="Times New Roman" w:cs="Times New Roman"/>
          <w:sz w:val="20"/>
          <w:szCs w:val="20"/>
        </w:rPr>
      </w:pPr>
    </w:p>
    <w:p w14:paraId="037D5BC5" w14:textId="77777777" w:rsidR="004C6797" w:rsidRPr="003C626F" w:rsidRDefault="004C6797" w:rsidP="004C6797">
      <w:pPr>
        <w:pStyle w:val="BodyText"/>
        <w:ind w:left="568" w:right="132" w:firstLine="720"/>
        <w:jc w:val="both"/>
        <w:rPr>
          <w:rFonts w:ascii="Times New Roman" w:hAnsi="Times New Roman" w:cs="Times New Roman"/>
          <w:sz w:val="20"/>
          <w:szCs w:val="20"/>
        </w:rPr>
      </w:pPr>
      <w:r w:rsidRPr="003C626F">
        <w:rPr>
          <w:rFonts w:ascii="Times New Roman" w:hAnsi="Times New Roman" w:cs="Times New Roman"/>
          <w:sz w:val="20"/>
          <w:szCs w:val="20"/>
        </w:rPr>
        <w:t>Unlike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traditional</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understanding</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formulation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linear</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7"/>
          <w:sz w:val="20"/>
          <w:szCs w:val="20"/>
        </w:rPr>
        <w:t xml:space="preserve"> </w:t>
      </w:r>
      <w:r w:rsidRPr="003C626F">
        <w:rPr>
          <w:rFonts w:ascii="Times New Roman" w:hAnsi="Times New Roman" w:cs="Times New Roman"/>
          <w:b/>
          <w:sz w:val="20"/>
          <w:szCs w:val="20"/>
        </w:rPr>
        <w:t>Dunn</w:t>
      </w:r>
      <w:r w:rsidRPr="003C626F">
        <w:rPr>
          <w:rFonts w:ascii="Times New Roman" w:hAnsi="Times New Roman" w:cs="Times New Roman"/>
          <w:b/>
          <w:spacing w:val="-8"/>
          <w:sz w:val="20"/>
          <w:szCs w:val="20"/>
        </w:rPr>
        <w:t xml:space="preserve"> </w:t>
      </w:r>
      <w:r w:rsidRPr="003C626F">
        <w:rPr>
          <w:rFonts w:ascii="Times New Roman" w:hAnsi="Times New Roman" w:cs="Times New Roman"/>
          <w:b/>
          <w:sz w:val="20"/>
          <w:szCs w:val="20"/>
        </w:rPr>
        <w:t xml:space="preserve">(2017) </w:t>
      </w:r>
      <w:r w:rsidRPr="003C626F">
        <w:rPr>
          <w:rFonts w:ascii="Times New Roman" w:hAnsi="Times New Roman" w:cs="Times New Roman"/>
          <w:sz w:val="20"/>
          <w:szCs w:val="20"/>
        </w:rPr>
        <w:t>views the stages in the process as non-linear, constantly interacting with one another. Policy issues are fluctuating, political actors continuously propose and adopt new solutions, and policymakers make decisions (and provide feedback on their success) while implementing these policies. The evaluation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success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not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one-time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document,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previous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influence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set 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agenda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for</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new</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ones.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other</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words,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these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stages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are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interconnected,</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mutually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influencing,</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and continuously interacting.</w:t>
      </w:r>
    </w:p>
    <w:p w14:paraId="7B363CF3" w14:textId="77777777" w:rsidR="004C6797" w:rsidRPr="003C626F" w:rsidRDefault="004C6797" w:rsidP="004C6797">
      <w:pPr>
        <w:pStyle w:val="BodyText"/>
        <w:jc w:val="both"/>
        <w:rPr>
          <w:rFonts w:ascii="Times New Roman" w:hAnsi="Times New Roman" w:cs="Times New Roman"/>
          <w:sz w:val="20"/>
          <w:szCs w:val="20"/>
        </w:rPr>
      </w:pPr>
    </w:p>
    <w:p w14:paraId="6ACD32CE" w14:textId="77777777" w:rsidR="004C6797" w:rsidRPr="003C626F" w:rsidRDefault="004C6797" w:rsidP="004C6797">
      <w:pPr>
        <w:pStyle w:val="BodyText"/>
        <w:ind w:left="568" w:right="145" w:firstLine="720"/>
        <w:jc w:val="both"/>
        <w:rPr>
          <w:rFonts w:ascii="Times New Roman" w:hAnsi="Times New Roman" w:cs="Times New Roman"/>
          <w:sz w:val="20"/>
          <w:szCs w:val="20"/>
        </w:rPr>
      </w:pPr>
      <w:r w:rsidRPr="003C626F">
        <w:rPr>
          <w:rFonts w:ascii="Times New Roman" w:hAnsi="Times New Roman" w:cs="Times New Roman"/>
          <w:sz w:val="20"/>
          <w:szCs w:val="20"/>
        </w:rPr>
        <w:t>Although Dunn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rejects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 traditional approach</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that sees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public policy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rigid and fixed, he still emphasizes that there are fundamental stages in the public policy process, which are interconnected. </w:t>
      </w:r>
      <w:r w:rsidRPr="003C626F">
        <w:rPr>
          <w:rFonts w:ascii="Times New Roman" w:hAnsi="Times New Roman" w:cs="Times New Roman"/>
          <w:b/>
          <w:sz w:val="20"/>
          <w:szCs w:val="20"/>
        </w:rPr>
        <w:t xml:space="preserve">Dunn (2003) </w:t>
      </w:r>
      <w:r w:rsidRPr="003C626F">
        <w:rPr>
          <w:rFonts w:ascii="Times New Roman" w:hAnsi="Times New Roman" w:cs="Times New Roman"/>
          <w:sz w:val="20"/>
          <w:szCs w:val="20"/>
        </w:rPr>
        <w:t>outlines these stages as follows:</w:t>
      </w:r>
    </w:p>
    <w:p w14:paraId="5D2304D7" w14:textId="77777777" w:rsidR="004C6797" w:rsidRPr="003C626F" w:rsidRDefault="004C6797" w:rsidP="004C6797">
      <w:pPr>
        <w:pStyle w:val="BodyText"/>
        <w:jc w:val="both"/>
        <w:rPr>
          <w:rFonts w:ascii="Times New Roman" w:hAnsi="Times New Roman" w:cs="Times New Roman"/>
          <w:sz w:val="20"/>
          <w:szCs w:val="20"/>
        </w:rPr>
      </w:pPr>
    </w:p>
    <w:p w14:paraId="237D9DA0" w14:textId="77777777" w:rsidR="004C6797" w:rsidRPr="003C626F" w:rsidRDefault="004C6797" w:rsidP="004C6797">
      <w:pPr>
        <w:pStyle w:val="ListParagraph"/>
        <w:widowControl w:val="0"/>
        <w:numPr>
          <w:ilvl w:val="0"/>
          <w:numId w:val="14"/>
        </w:numPr>
        <w:tabs>
          <w:tab w:val="left" w:pos="1288"/>
        </w:tabs>
        <w:autoSpaceDE w:val="0"/>
        <w:autoSpaceDN w:val="0"/>
        <w:spacing w:after="0" w:line="240" w:lineRule="auto"/>
        <w:ind w:right="136"/>
        <w:contextualSpacing w:val="0"/>
        <w:rPr>
          <w:rFonts w:ascii="Times New Roman" w:hAnsi="Times New Roman" w:cs="Times New Roman"/>
          <w:sz w:val="20"/>
          <w:szCs w:val="20"/>
        </w:rPr>
      </w:pPr>
      <w:r w:rsidRPr="003C626F">
        <w:rPr>
          <w:rFonts w:ascii="Times New Roman" w:hAnsi="Times New Roman" w:cs="Times New Roman"/>
          <w:b/>
          <w:sz w:val="20"/>
          <w:szCs w:val="20"/>
        </w:rPr>
        <w:t>Agenda</w:t>
      </w:r>
      <w:r w:rsidRPr="003C626F">
        <w:rPr>
          <w:rFonts w:ascii="Times New Roman" w:hAnsi="Times New Roman" w:cs="Times New Roman"/>
          <w:b/>
          <w:spacing w:val="-8"/>
          <w:sz w:val="20"/>
          <w:szCs w:val="20"/>
        </w:rPr>
        <w:t xml:space="preserve"> </w:t>
      </w:r>
      <w:r w:rsidRPr="003C626F">
        <w:rPr>
          <w:rFonts w:ascii="Times New Roman" w:hAnsi="Times New Roman" w:cs="Times New Roman"/>
          <w:b/>
          <w:sz w:val="20"/>
          <w:szCs w:val="20"/>
        </w:rPr>
        <w:t>Setting</w:t>
      </w:r>
      <w:r w:rsidRPr="003C626F">
        <w:rPr>
          <w:rFonts w:ascii="Times New Roman" w:hAnsi="Times New Roman" w:cs="Times New Roman"/>
          <w:b/>
          <w:spacing w:val="-6"/>
          <w:sz w:val="20"/>
          <w:szCs w:val="20"/>
        </w:rPr>
        <w:t xml:space="preserve"> </w:t>
      </w:r>
      <w:r w:rsidRPr="003C626F">
        <w:rPr>
          <w:rFonts w:ascii="Times New Roman" w:hAnsi="Times New Roman" w:cs="Times New Roman"/>
          <w:sz w:val="20"/>
          <w:szCs w:val="20"/>
        </w:rPr>
        <w: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Administrators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officials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begin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by</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introducing</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key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public agenda, competing with other issues.</w:t>
      </w:r>
    </w:p>
    <w:p w14:paraId="2514BDB9" w14:textId="77777777" w:rsidR="004C6797" w:rsidRPr="003C626F" w:rsidRDefault="004C6797" w:rsidP="004C6797">
      <w:pPr>
        <w:pStyle w:val="ListParagraph"/>
        <w:widowControl w:val="0"/>
        <w:numPr>
          <w:ilvl w:val="0"/>
          <w:numId w:val="14"/>
        </w:numPr>
        <w:tabs>
          <w:tab w:val="left" w:pos="1288"/>
        </w:tabs>
        <w:autoSpaceDE w:val="0"/>
        <w:autoSpaceDN w:val="0"/>
        <w:spacing w:after="0" w:line="240" w:lineRule="auto"/>
        <w:ind w:right="146"/>
        <w:contextualSpacing w:val="0"/>
        <w:rPr>
          <w:rFonts w:ascii="Times New Roman" w:hAnsi="Times New Roman" w:cs="Times New Roman"/>
          <w:sz w:val="20"/>
          <w:szCs w:val="20"/>
        </w:rPr>
      </w:pPr>
      <w:r w:rsidRPr="003C626F">
        <w:rPr>
          <w:rFonts w:ascii="Times New Roman" w:hAnsi="Times New Roman" w:cs="Times New Roman"/>
          <w:b/>
          <w:sz w:val="20"/>
          <w:szCs w:val="20"/>
        </w:rPr>
        <w:t xml:space="preserve">Policy Formulation </w:t>
      </w:r>
      <w:r w:rsidRPr="003C626F">
        <w:rPr>
          <w:rFonts w:ascii="Times New Roman" w:hAnsi="Times New Roman" w:cs="Times New Roman"/>
          <w:sz w:val="20"/>
          <w:szCs w:val="20"/>
        </w:rPr>
        <w: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this stage, several</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have entered the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agenda</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are clearly defined, and various alternative solutions are sought to address them. These alternatives compete, and the most effective solution is eventually selected.</w:t>
      </w:r>
    </w:p>
    <w:p w14:paraId="27BF1755" w14:textId="77777777" w:rsidR="004C6797" w:rsidRPr="003C626F" w:rsidRDefault="004C6797" w:rsidP="004C6797">
      <w:pPr>
        <w:pStyle w:val="ListParagraph"/>
        <w:widowControl w:val="0"/>
        <w:numPr>
          <w:ilvl w:val="0"/>
          <w:numId w:val="14"/>
        </w:numPr>
        <w:tabs>
          <w:tab w:val="left" w:pos="1288"/>
        </w:tabs>
        <w:autoSpaceDE w:val="0"/>
        <w:autoSpaceDN w:val="0"/>
        <w:spacing w:after="0" w:line="240" w:lineRule="auto"/>
        <w:ind w:right="149"/>
        <w:contextualSpacing w:val="0"/>
        <w:rPr>
          <w:rFonts w:ascii="Times New Roman" w:hAnsi="Times New Roman" w:cs="Times New Roman"/>
          <w:sz w:val="20"/>
          <w:szCs w:val="20"/>
        </w:rPr>
      </w:pPr>
      <w:r w:rsidRPr="003C626F">
        <w:rPr>
          <w:rFonts w:ascii="Times New Roman" w:hAnsi="Times New Roman" w:cs="Times New Roman"/>
          <w:b/>
          <w:sz w:val="20"/>
          <w:szCs w:val="20"/>
        </w:rPr>
        <w:t xml:space="preserve">Policy Adoption </w:t>
      </w:r>
      <w:r w:rsidRPr="003C626F">
        <w:rPr>
          <w:rFonts w:ascii="Times New Roman" w:hAnsi="Times New Roman" w:cs="Times New Roman"/>
          <w:sz w:val="20"/>
          <w:szCs w:val="20"/>
        </w:rPr>
        <w:t>: From the alternatives, one is chosen and adopted based on majority legislative support, a collective consensus, or judicial decisions.</w:t>
      </w:r>
    </w:p>
    <w:p w14:paraId="68EEE966" w14:textId="77777777" w:rsidR="004C6797" w:rsidRPr="003C626F" w:rsidRDefault="004C6797" w:rsidP="004C6797">
      <w:pPr>
        <w:pStyle w:val="ListParagraph"/>
        <w:spacing w:after="0" w:line="240" w:lineRule="auto"/>
        <w:rPr>
          <w:rFonts w:ascii="Times New Roman" w:hAnsi="Times New Roman" w:cs="Times New Roman"/>
          <w:sz w:val="20"/>
          <w:szCs w:val="20"/>
        </w:rPr>
        <w:sectPr w:rsidR="004C6797" w:rsidRPr="003C626F" w:rsidSect="004C6797">
          <w:pgSz w:w="11920" w:h="16850"/>
          <w:pgMar w:top="1580" w:right="1559" w:bottom="280" w:left="1700" w:header="715" w:footer="0" w:gutter="0"/>
          <w:cols w:space="720"/>
        </w:sectPr>
      </w:pPr>
    </w:p>
    <w:p w14:paraId="307CDFDF" w14:textId="77777777" w:rsidR="004C6797" w:rsidRPr="003C626F" w:rsidRDefault="004C6797" w:rsidP="004C6797">
      <w:pPr>
        <w:pStyle w:val="ListParagraph"/>
        <w:widowControl w:val="0"/>
        <w:numPr>
          <w:ilvl w:val="0"/>
          <w:numId w:val="14"/>
        </w:numPr>
        <w:tabs>
          <w:tab w:val="left" w:pos="1288"/>
        </w:tabs>
        <w:autoSpaceDE w:val="0"/>
        <w:autoSpaceDN w:val="0"/>
        <w:spacing w:after="0" w:line="240" w:lineRule="auto"/>
        <w:ind w:right="149"/>
        <w:contextualSpacing w:val="0"/>
        <w:rPr>
          <w:rFonts w:ascii="Times New Roman" w:hAnsi="Times New Roman" w:cs="Times New Roman"/>
          <w:sz w:val="20"/>
          <w:szCs w:val="20"/>
        </w:rPr>
      </w:pPr>
      <w:r w:rsidRPr="003C626F">
        <w:rPr>
          <w:rFonts w:ascii="Times New Roman" w:hAnsi="Times New Roman" w:cs="Times New Roman"/>
          <w:b/>
          <w:sz w:val="20"/>
          <w:szCs w:val="20"/>
        </w:rPr>
        <w:t xml:space="preserve">Policy Implementation </w:t>
      </w:r>
      <w:r w:rsidRPr="003C626F">
        <w:rPr>
          <w:rFonts w:ascii="Times New Roman" w:hAnsi="Times New Roman" w:cs="Times New Roman"/>
          <w:sz w:val="20"/>
          <w:szCs w:val="20"/>
        </w:rPr>
        <w:t>: The chosen policy is implemented by administrative units with the authority to manage financial and human resources.</w:t>
      </w:r>
    </w:p>
    <w:p w14:paraId="41A5447B" w14:textId="77777777" w:rsidR="004C6797" w:rsidRPr="003C626F" w:rsidRDefault="004C6797" w:rsidP="004C6797">
      <w:pPr>
        <w:pStyle w:val="ListParagraph"/>
        <w:widowControl w:val="0"/>
        <w:numPr>
          <w:ilvl w:val="0"/>
          <w:numId w:val="14"/>
        </w:numPr>
        <w:tabs>
          <w:tab w:val="left" w:pos="1288"/>
        </w:tabs>
        <w:autoSpaceDE w:val="0"/>
        <w:autoSpaceDN w:val="0"/>
        <w:spacing w:after="0" w:line="240" w:lineRule="auto"/>
        <w:ind w:right="140"/>
        <w:contextualSpacing w:val="0"/>
        <w:rPr>
          <w:rFonts w:ascii="Times New Roman" w:hAnsi="Times New Roman" w:cs="Times New Roman"/>
          <w:sz w:val="20"/>
          <w:szCs w:val="20"/>
        </w:rPr>
      </w:pPr>
      <w:r w:rsidRPr="003C626F">
        <w:rPr>
          <w:rFonts w:ascii="Times New Roman" w:hAnsi="Times New Roman" w:cs="Times New Roman"/>
          <w:b/>
          <w:sz w:val="20"/>
          <w:szCs w:val="20"/>
        </w:rPr>
        <w:t xml:space="preserve">Policy Evaluation </w:t>
      </w:r>
      <w:r w:rsidRPr="003C626F">
        <w:rPr>
          <w:rFonts w:ascii="Times New Roman" w:hAnsi="Times New Roman" w:cs="Times New Roman"/>
          <w:sz w:val="20"/>
          <w:szCs w:val="20"/>
        </w:rPr>
        <w:t>: At this stage, the implemented policy is evaluated to determine its usefulness and impact. Various measures and parameters are set to assess whether the implementation and outcomes align with initial expectations.</w:t>
      </w:r>
    </w:p>
    <w:p w14:paraId="7C40EDAF" w14:textId="77777777" w:rsidR="004C6797" w:rsidRPr="003C626F" w:rsidRDefault="004C6797" w:rsidP="004C6797">
      <w:pPr>
        <w:pStyle w:val="BodyText"/>
        <w:jc w:val="both"/>
        <w:rPr>
          <w:rFonts w:ascii="Times New Roman" w:hAnsi="Times New Roman" w:cs="Times New Roman"/>
          <w:sz w:val="20"/>
          <w:szCs w:val="20"/>
        </w:rPr>
      </w:pPr>
    </w:p>
    <w:p w14:paraId="61EB4BF5" w14:textId="77777777" w:rsidR="004C6797" w:rsidRPr="003C626F" w:rsidRDefault="004C6797" w:rsidP="004C6797">
      <w:pPr>
        <w:pStyle w:val="BodyText"/>
        <w:ind w:left="568" w:right="131" w:firstLine="720"/>
        <w:jc w:val="both"/>
        <w:rPr>
          <w:rFonts w:ascii="Times New Roman" w:hAnsi="Times New Roman" w:cs="Times New Roman"/>
          <w:sz w:val="20"/>
          <w:szCs w:val="20"/>
        </w:rPr>
      </w:pPr>
      <w:r w:rsidRPr="003C626F">
        <w:rPr>
          <w:rFonts w:ascii="Times New Roman" w:hAnsi="Times New Roman" w:cs="Times New Roman"/>
          <w:sz w:val="20"/>
          <w:szCs w:val="20"/>
        </w:rPr>
        <w:t>As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previously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explained,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has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arrived</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all</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its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potential</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benefits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various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sectors, including the public sector. However, we must not overlook the various challenges and issues that may arise from this matter because AI, like other technological products, is a double-edged sword, presenting</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both</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challenges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threats.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presence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sector</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may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face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challenges such</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resistance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stakeholders</w:t>
      </w:r>
      <w:r w:rsidRPr="003C626F">
        <w:rPr>
          <w:rFonts w:ascii="Times New Roman" w:hAnsi="Times New Roman" w:cs="Times New Roman"/>
          <w:spacing w:val="-3"/>
          <w:sz w:val="20"/>
          <w:szCs w:val="20"/>
        </w:rPr>
        <w:t xml:space="preserve"> </w:t>
      </w:r>
      <w:r w:rsidRPr="003C626F">
        <w:rPr>
          <w:rFonts w:ascii="Times New Roman" w:hAnsi="Times New Roman" w:cs="Times New Roman"/>
          <w:b/>
          <w:sz w:val="20"/>
          <w:szCs w:val="20"/>
        </w:rPr>
        <w:t>(Sun et al., 2019)</w:t>
      </w:r>
      <w:r w:rsidRPr="003C626F">
        <w:rPr>
          <w:rFonts w:ascii="Times New Roman" w:hAnsi="Times New Roman" w:cs="Times New Roman"/>
          <w:sz w:val="20"/>
          <w:szCs w:val="20"/>
        </w:rPr>
        <w:t>,</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ethical</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accountability,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transparency, and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fairness</w:t>
      </w:r>
      <w:r w:rsidRPr="003C626F">
        <w:rPr>
          <w:rFonts w:ascii="Times New Roman" w:hAnsi="Times New Roman" w:cs="Times New Roman"/>
          <w:spacing w:val="-8"/>
          <w:sz w:val="20"/>
          <w:szCs w:val="20"/>
        </w:rPr>
        <w:t xml:space="preserve"> </w:t>
      </w:r>
      <w:r w:rsidRPr="003C626F">
        <w:rPr>
          <w:rFonts w:ascii="Times New Roman" w:hAnsi="Times New Roman" w:cs="Times New Roman"/>
          <w:b/>
          <w:sz w:val="20"/>
          <w:szCs w:val="20"/>
        </w:rPr>
        <w:t>(Wirtz</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et</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al.,</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2018)</w:t>
      </w:r>
      <w:r w:rsidRPr="003C626F">
        <w:rPr>
          <w:rFonts w:ascii="Times New Roman" w:hAnsi="Times New Roman" w:cs="Times New Roman"/>
          <w:sz w:val="20"/>
          <w:szCs w:val="20"/>
        </w:rPr>
        <w: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well</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privacy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concerns,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consent,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discrimination</w:t>
      </w:r>
      <w:r w:rsidRPr="003C626F">
        <w:rPr>
          <w:rFonts w:ascii="Times New Roman" w:hAnsi="Times New Roman" w:cs="Times New Roman"/>
          <w:spacing w:val="-3"/>
          <w:sz w:val="20"/>
          <w:szCs w:val="20"/>
        </w:rPr>
        <w:t xml:space="preserve"> </w:t>
      </w:r>
      <w:r w:rsidRPr="003C626F">
        <w:rPr>
          <w:rFonts w:ascii="Times New Roman" w:hAnsi="Times New Roman" w:cs="Times New Roman"/>
          <w:b/>
          <w:sz w:val="20"/>
          <w:szCs w:val="20"/>
        </w:rPr>
        <w:t>(</w:t>
      </w:r>
      <w:proofErr w:type="spellStart"/>
      <w:r w:rsidRPr="003C626F">
        <w:rPr>
          <w:rFonts w:ascii="Times New Roman" w:hAnsi="Times New Roman" w:cs="Times New Roman"/>
          <w:b/>
          <w:sz w:val="20"/>
          <w:szCs w:val="20"/>
        </w:rPr>
        <w:t>Anshari</w:t>
      </w:r>
      <w:proofErr w:type="spellEnd"/>
      <w:r w:rsidRPr="003C626F">
        <w:rPr>
          <w:rFonts w:ascii="Times New Roman" w:hAnsi="Times New Roman" w:cs="Times New Roman"/>
          <w:b/>
          <w:sz w:val="20"/>
          <w:szCs w:val="20"/>
        </w:rPr>
        <w:t xml:space="preserve"> et al., 2022)</w:t>
      </w:r>
      <w:r w:rsidRPr="003C626F">
        <w:rPr>
          <w:rFonts w:ascii="Times New Roman" w:hAnsi="Times New Roman" w:cs="Times New Roman"/>
          <w:sz w:val="20"/>
          <w:szCs w:val="20"/>
        </w:rPr>
        <w:t>, among others. Every stakeholder must be aware of these challenges and strive to prepare for them to optimize AI utilization in the public sector while minimizing risks.</w:t>
      </w:r>
    </w:p>
    <w:p w14:paraId="1ACDD9BC" w14:textId="77777777" w:rsidR="004C6797" w:rsidRPr="003C626F" w:rsidRDefault="004C6797" w:rsidP="004C6797">
      <w:pPr>
        <w:pStyle w:val="BodyText"/>
        <w:jc w:val="both"/>
        <w:rPr>
          <w:rFonts w:ascii="Times New Roman" w:hAnsi="Times New Roman" w:cs="Times New Roman"/>
          <w:sz w:val="20"/>
          <w:szCs w:val="20"/>
        </w:rPr>
      </w:pPr>
    </w:p>
    <w:p w14:paraId="6626D211" w14:textId="77777777" w:rsidR="004C6797" w:rsidRPr="003C626F" w:rsidRDefault="004C6797" w:rsidP="004C6797">
      <w:pPr>
        <w:pStyle w:val="BodyText"/>
        <w:ind w:left="568" w:right="133" w:firstLine="720"/>
        <w:jc w:val="both"/>
        <w:rPr>
          <w:rFonts w:ascii="Times New Roman" w:hAnsi="Times New Roman" w:cs="Times New Roman"/>
          <w:sz w:val="20"/>
          <w:szCs w:val="20"/>
        </w:rPr>
      </w:pPr>
      <w:r w:rsidRPr="003C626F">
        <w:rPr>
          <w:rFonts w:ascii="Times New Roman" w:hAnsi="Times New Roman" w:cs="Times New Roman"/>
          <w:sz w:val="20"/>
          <w:szCs w:val="20"/>
        </w:rPr>
        <w:t>The novelty of this research lies in its unique combination of the role and transformative efforts of AI in the public policy formulation process using the Policy Cycle framework proposed by William Dunn to provide a structured understanding of how AI can revolutionize each stage. While existing studies focus on the general application of AI in government and public policy processes, this research aims to specifically integrate AI’s capabilities to promote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effectiveness and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efficiency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inherent</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nature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Dunn’s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Cycle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theory,</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particularly its iterative and non-linear characteristics. This paper is significant and important because it will demonstrate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how</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presence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technology,</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specifically</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be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used</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maximize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service processes,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helping</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create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data-driven,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effective,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relevant,</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efficient</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are</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ultimately accountable. This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paper can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serve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as a</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reference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for</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stakeholders, especially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policymakers, on how to integrate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AI into</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sector</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while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considering the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potential and negative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impacts.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AI as a tool that is accompanying our lives today, it is crucial for policymakers to actively maximize its potential for the benefit and well-being of society, and this paper aims to provide a practical perspective on this issue.</w:t>
      </w:r>
    </w:p>
    <w:p w14:paraId="7A55CF08" w14:textId="77777777" w:rsidR="004C6797" w:rsidRPr="003C626F" w:rsidRDefault="004C6797" w:rsidP="004C6797">
      <w:pPr>
        <w:pStyle w:val="BodyText"/>
        <w:jc w:val="both"/>
        <w:rPr>
          <w:rFonts w:ascii="Times New Roman" w:hAnsi="Times New Roman" w:cs="Times New Roman"/>
          <w:sz w:val="20"/>
          <w:szCs w:val="20"/>
        </w:rPr>
      </w:pPr>
    </w:p>
    <w:p w14:paraId="48F46595" w14:textId="77777777" w:rsidR="004C6797" w:rsidRPr="003C626F" w:rsidRDefault="004C6797" w:rsidP="004C6797">
      <w:pPr>
        <w:pStyle w:val="BodyText"/>
        <w:ind w:left="568" w:right="132" w:firstLine="720"/>
        <w:jc w:val="both"/>
        <w:rPr>
          <w:rFonts w:ascii="Times New Roman" w:hAnsi="Times New Roman" w:cs="Times New Roman"/>
          <w:sz w:val="20"/>
          <w:szCs w:val="20"/>
        </w:rPr>
      </w:pPr>
      <w:r w:rsidRPr="003C626F">
        <w:rPr>
          <w:rFonts w:ascii="Times New Roman" w:hAnsi="Times New Roman" w:cs="Times New Roman"/>
          <w:sz w:val="20"/>
          <w:szCs w:val="20"/>
        </w:rPr>
        <w:t>Furthermore, the research question of this paper, which we will address and analyze, is: How does the presence of artificial intelligence drive the public policy formulation process within the framework of William Dunn's Policy Cycle theory? how do ethical concerns pose challenges and threats that may arise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during its </w:t>
      </w:r>
      <w:proofErr w:type="gramStart"/>
      <w:r w:rsidRPr="003C626F">
        <w:rPr>
          <w:rFonts w:ascii="Times New Roman" w:hAnsi="Times New Roman" w:cs="Times New Roman"/>
          <w:sz w:val="20"/>
          <w:szCs w:val="20"/>
        </w:rPr>
        <w:t>implementation?.</w:t>
      </w:r>
      <w:proofErr w:type="gramEnd"/>
      <w:r w:rsidRPr="003C626F">
        <w:rPr>
          <w:rFonts w:ascii="Times New Roman" w:hAnsi="Times New Roman" w:cs="Times New Roman"/>
          <w:sz w:val="20"/>
          <w:szCs w:val="20"/>
        </w:rPr>
        <w:t xml:space="preserve"> </w:t>
      </w:r>
      <w:proofErr w:type="spellStart"/>
      <w:r w:rsidRPr="003C626F">
        <w:rPr>
          <w:rFonts w:ascii="Times New Roman" w:hAnsi="Times New Roman" w:cs="Times New Roman"/>
          <w:sz w:val="20"/>
          <w:szCs w:val="20"/>
        </w:rPr>
        <w:t>Furhermore</w:t>
      </w:r>
      <w:proofErr w:type="spellEnd"/>
      <w:r w:rsidRPr="003C626F">
        <w:rPr>
          <w:rFonts w:ascii="Times New Roman" w:hAnsi="Times New Roman" w:cs="Times New Roman"/>
          <w:sz w:val="20"/>
          <w:szCs w:val="20"/>
        </w:rPr>
        <w:t>, the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main objective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to explore how</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support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assist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every</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stage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cycle,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agenda</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setting</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policy evaluation,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identify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explain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ethical</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concerns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key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challenge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integrating</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into</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the public policy sector.</w:t>
      </w:r>
    </w:p>
    <w:p w14:paraId="62E9F2BF" w14:textId="77777777" w:rsidR="004C6797" w:rsidRPr="003C626F" w:rsidRDefault="004C6797" w:rsidP="004C6797">
      <w:pPr>
        <w:pStyle w:val="BodyText"/>
        <w:jc w:val="both"/>
        <w:rPr>
          <w:rFonts w:ascii="Times New Roman" w:hAnsi="Times New Roman" w:cs="Times New Roman"/>
          <w:sz w:val="20"/>
          <w:szCs w:val="20"/>
        </w:rPr>
      </w:pPr>
    </w:p>
    <w:p w14:paraId="44127FA0" w14:textId="77777777" w:rsidR="004C6797" w:rsidRPr="00CB77A7" w:rsidRDefault="004C6797" w:rsidP="008D1BEF">
      <w:pPr>
        <w:pStyle w:val="ListParagraph"/>
        <w:numPr>
          <w:ilvl w:val="0"/>
          <w:numId w:val="22"/>
        </w:numPr>
        <w:ind w:left="567"/>
        <w:rPr>
          <w:rFonts w:ascii="Times New Roman" w:hAnsi="Times New Roman" w:cs="Times New Roman"/>
          <w:b/>
          <w:bCs/>
          <w:sz w:val="24"/>
          <w:szCs w:val="24"/>
        </w:rPr>
      </w:pPr>
      <w:proofErr w:type="spellStart"/>
      <w:r w:rsidRPr="00CB77A7">
        <w:rPr>
          <w:rFonts w:ascii="Times New Roman" w:hAnsi="Times New Roman" w:cs="Times New Roman"/>
          <w:b/>
          <w:bCs/>
          <w:sz w:val="24"/>
          <w:szCs w:val="24"/>
        </w:rPr>
        <w:t>Method</w:t>
      </w:r>
      <w:proofErr w:type="spellEnd"/>
    </w:p>
    <w:p w14:paraId="14B6E8BB" w14:textId="77777777" w:rsidR="004C6797" w:rsidRPr="003C626F" w:rsidRDefault="004C6797" w:rsidP="004C6797">
      <w:pPr>
        <w:pStyle w:val="BodyText"/>
        <w:ind w:left="568" w:right="136" w:firstLine="715"/>
        <w:jc w:val="both"/>
        <w:rPr>
          <w:rFonts w:ascii="Times New Roman" w:hAnsi="Times New Roman" w:cs="Times New Roman"/>
          <w:sz w:val="20"/>
          <w:szCs w:val="20"/>
        </w:rPr>
      </w:pPr>
      <w:r w:rsidRPr="003C626F">
        <w:rPr>
          <w:rFonts w:ascii="Times New Roman" w:hAnsi="Times New Roman" w:cs="Times New Roman"/>
          <w:sz w:val="20"/>
          <w:szCs w:val="20"/>
        </w:rPr>
        <w:t>This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research</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employs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qualitative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research</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method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explore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role</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each</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stage of the public policy formulation process, analyzed using the Policy Cycle Framework by William Dunn. Firstly, key data is gathered from various academic journals and government reports that explain the utilization of AI in public policy-making processes. Additionally, several case studies are conducted to provide practical insights into AI applications. Furthermore, relevant books, articles, and publications discussing public policy and artificial intelligence are collected to strengthen the theoretical foundation of this research. Secondly, the collected sources and data are organized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thematically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coded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align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five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stages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according to</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Dunn,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ranging</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agenda-setting</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evaluation.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Patterns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related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applications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each</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stage are then analyzed, identifying opportunities and finding the ethics related challenges.</w:t>
      </w:r>
    </w:p>
    <w:p w14:paraId="480B0BF9" w14:textId="77777777" w:rsidR="004C6797" w:rsidRPr="003C626F" w:rsidRDefault="004C6797" w:rsidP="004C6797">
      <w:pPr>
        <w:pStyle w:val="BodyText"/>
        <w:jc w:val="both"/>
        <w:rPr>
          <w:rFonts w:ascii="Times New Roman" w:hAnsi="Times New Roman" w:cs="Times New Roman"/>
          <w:sz w:val="20"/>
          <w:szCs w:val="20"/>
        </w:rPr>
      </w:pPr>
    </w:p>
    <w:p w14:paraId="6AD73894" w14:textId="77777777" w:rsidR="004C6797" w:rsidRPr="003C626F" w:rsidRDefault="004C6797" w:rsidP="004C6797">
      <w:pPr>
        <w:pStyle w:val="BodyText"/>
        <w:ind w:left="568" w:right="135" w:firstLine="720"/>
        <w:jc w:val="both"/>
        <w:rPr>
          <w:rFonts w:ascii="Times New Roman" w:hAnsi="Times New Roman" w:cs="Times New Roman"/>
          <w:sz w:val="20"/>
          <w:szCs w:val="20"/>
        </w:rPr>
      </w:pPr>
      <w:r w:rsidRPr="003C626F">
        <w:rPr>
          <w:rFonts w:ascii="Times New Roman" w:hAnsi="Times New Roman" w:cs="Times New Roman"/>
          <w:sz w:val="20"/>
          <w:szCs w:val="20"/>
        </w:rPr>
        <w:t>The Policy Cycle Framework by William Dunn is chosen by the author to structure the analysis due to its focus on the inherent characteristics of public policy processes, namely, their iterative and nonlinear nature. This approach provides a conceptual understanding of how AI can assist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dynamics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between</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stages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theoretical</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framework</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practically applied by mapping the collected data into each phase of the established procedure. The author believes</w:t>
      </w:r>
      <w:r w:rsidRPr="003C626F">
        <w:rPr>
          <w:rFonts w:ascii="Times New Roman" w:hAnsi="Times New Roman" w:cs="Times New Roman"/>
          <w:spacing w:val="37"/>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38"/>
          <w:sz w:val="20"/>
          <w:szCs w:val="20"/>
        </w:rPr>
        <w:t xml:space="preserve"> </w:t>
      </w:r>
      <w:r w:rsidRPr="003C626F">
        <w:rPr>
          <w:rFonts w:ascii="Times New Roman" w:hAnsi="Times New Roman" w:cs="Times New Roman"/>
          <w:sz w:val="20"/>
          <w:szCs w:val="20"/>
        </w:rPr>
        <w:t>this</w:t>
      </w:r>
      <w:r w:rsidRPr="003C626F">
        <w:rPr>
          <w:rFonts w:ascii="Times New Roman" w:hAnsi="Times New Roman" w:cs="Times New Roman"/>
          <w:spacing w:val="34"/>
          <w:sz w:val="20"/>
          <w:szCs w:val="20"/>
        </w:rPr>
        <w:t xml:space="preserve"> </w:t>
      </w:r>
      <w:r w:rsidRPr="003C626F">
        <w:rPr>
          <w:rFonts w:ascii="Times New Roman" w:hAnsi="Times New Roman" w:cs="Times New Roman"/>
          <w:sz w:val="20"/>
          <w:szCs w:val="20"/>
        </w:rPr>
        <w:t>theoretical</w:t>
      </w:r>
      <w:r w:rsidRPr="003C626F">
        <w:rPr>
          <w:rFonts w:ascii="Times New Roman" w:hAnsi="Times New Roman" w:cs="Times New Roman"/>
          <w:spacing w:val="37"/>
          <w:sz w:val="20"/>
          <w:szCs w:val="20"/>
        </w:rPr>
        <w:t xml:space="preserve"> </w:t>
      </w:r>
      <w:r w:rsidRPr="003C626F">
        <w:rPr>
          <w:rFonts w:ascii="Times New Roman" w:hAnsi="Times New Roman" w:cs="Times New Roman"/>
          <w:sz w:val="20"/>
          <w:szCs w:val="20"/>
        </w:rPr>
        <w:t>framework</w:t>
      </w:r>
      <w:r w:rsidRPr="003C626F">
        <w:rPr>
          <w:rFonts w:ascii="Times New Roman" w:hAnsi="Times New Roman" w:cs="Times New Roman"/>
          <w:spacing w:val="39"/>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33"/>
          <w:sz w:val="20"/>
          <w:szCs w:val="20"/>
        </w:rPr>
        <w:t xml:space="preserve"> </w:t>
      </w:r>
      <w:r w:rsidRPr="003C626F">
        <w:rPr>
          <w:rFonts w:ascii="Times New Roman" w:hAnsi="Times New Roman" w:cs="Times New Roman"/>
          <w:sz w:val="20"/>
          <w:szCs w:val="20"/>
        </w:rPr>
        <w:t>highly</w:t>
      </w:r>
      <w:r w:rsidRPr="003C626F">
        <w:rPr>
          <w:rFonts w:ascii="Times New Roman" w:hAnsi="Times New Roman" w:cs="Times New Roman"/>
          <w:spacing w:val="38"/>
          <w:sz w:val="20"/>
          <w:szCs w:val="20"/>
        </w:rPr>
        <w:t xml:space="preserve"> </w:t>
      </w:r>
      <w:r w:rsidRPr="003C626F">
        <w:rPr>
          <w:rFonts w:ascii="Times New Roman" w:hAnsi="Times New Roman" w:cs="Times New Roman"/>
          <w:sz w:val="20"/>
          <w:szCs w:val="20"/>
        </w:rPr>
        <w:t>appropriate</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given</w:t>
      </w:r>
      <w:r w:rsidRPr="003C626F">
        <w:rPr>
          <w:rFonts w:ascii="Times New Roman" w:hAnsi="Times New Roman" w:cs="Times New Roman"/>
          <w:spacing w:val="39"/>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37"/>
          <w:sz w:val="20"/>
          <w:szCs w:val="20"/>
        </w:rPr>
        <w:t xml:space="preserve"> </w:t>
      </w:r>
      <w:r w:rsidRPr="003C626F">
        <w:rPr>
          <w:rFonts w:ascii="Times New Roman" w:hAnsi="Times New Roman" w:cs="Times New Roman"/>
          <w:sz w:val="20"/>
          <w:szCs w:val="20"/>
        </w:rPr>
        <w:t>complexity</w:t>
      </w:r>
      <w:r w:rsidRPr="003C626F">
        <w:rPr>
          <w:rFonts w:ascii="Times New Roman" w:hAnsi="Times New Roman" w:cs="Times New Roman"/>
          <w:spacing w:val="38"/>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35"/>
          <w:sz w:val="20"/>
          <w:szCs w:val="20"/>
        </w:rPr>
        <w:t xml:space="preserve"> </w:t>
      </w:r>
      <w:r w:rsidRPr="003C626F">
        <w:rPr>
          <w:rFonts w:ascii="Times New Roman" w:hAnsi="Times New Roman" w:cs="Times New Roman"/>
          <w:sz w:val="20"/>
          <w:szCs w:val="20"/>
        </w:rPr>
        <w:t>today’s</w:t>
      </w:r>
    </w:p>
    <w:p w14:paraId="5DA27FE6" w14:textId="77777777" w:rsidR="004C6797" w:rsidRPr="003C626F" w:rsidRDefault="004C6797" w:rsidP="004C6797">
      <w:pPr>
        <w:pStyle w:val="BodyText"/>
        <w:jc w:val="both"/>
        <w:rPr>
          <w:rFonts w:ascii="Times New Roman" w:hAnsi="Times New Roman" w:cs="Times New Roman"/>
          <w:sz w:val="20"/>
          <w:szCs w:val="20"/>
        </w:rPr>
        <w:sectPr w:rsidR="004C6797" w:rsidRPr="003C626F" w:rsidSect="004C6797">
          <w:pgSz w:w="11920" w:h="16850"/>
          <w:pgMar w:top="1580" w:right="1559" w:bottom="280" w:left="1700" w:header="715" w:footer="0" w:gutter="0"/>
          <w:cols w:space="720"/>
        </w:sectPr>
      </w:pPr>
    </w:p>
    <w:p w14:paraId="3E117764" w14:textId="77777777" w:rsidR="004C6797" w:rsidRPr="003C626F" w:rsidRDefault="004C6797" w:rsidP="004C6797">
      <w:pPr>
        <w:pStyle w:val="BodyText"/>
        <w:ind w:left="568" w:right="139"/>
        <w:jc w:val="both"/>
        <w:rPr>
          <w:rFonts w:ascii="Times New Roman" w:hAnsi="Times New Roman" w:cs="Times New Roman"/>
          <w:sz w:val="20"/>
          <w:szCs w:val="20"/>
        </w:rPr>
      </w:pPr>
      <w:r w:rsidRPr="003C626F">
        <w:rPr>
          <w:rFonts w:ascii="Times New Roman" w:hAnsi="Times New Roman" w:cs="Times New Roman"/>
          <w:sz w:val="20"/>
          <w:szCs w:val="20"/>
        </w:rPr>
        <w:t>political realities. The public policy process, from agenda-setting to policy evaluation, is a long, intricate, and highly dynamic series of events. Therefore, Dunn's framework, which emphasizes iterative and nonlinear characteristics, is the most suitable theory for this research. The qualitative approach is also adopted to offer in-depth, flexible, comprehensive, and contextual exploration to address the research questions.</w:t>
      </w:r>
    </w:p>
    <w:p w14:paraId="3F1E1331" w14:textId="77777777" w:rsidR="004C6797" w:rsidRPr="00CB77A7" w:rsidRDefault="004C6797" w:rsidP="004C6797">
      <w:pPr>
        <w:pStyle w:val="ListParagraph"/>
        <w:numPr>
          <w:ilvl w:val="0"/>
          <w:numId w:val="22"/>
        </w:numPr>
        <w:spacing w:after="0" w:line="240" w:lineRule="auto"/>
        <w:rPr>
          <w:rFonts w:ascii="Times New Roman" w:hAnsi="Times New Roman" w:cs="Times New Roman"/>
          <w:b/>
          <w:bCs/>
          <w:sz w:val="24"/>
          <w:szCs w:val="24"/>
        </w:rPr>
      </w:pPr>
      <w:r w:rsidRPr="00CB77A7">
        <w:rPr>
          <w:rFonts w:ascii="Times New Roman" w:hAnsi="Times New Roman" w:cs="Times New Roman"/>
          <w:b/>
          <w:bCs/>
          <w:sz w:val="24"/>
          <w:szCs w:val="24"/>
        </w:rPr>
        <w:t>Result</w:t>
      </w:r>
      <w:r w:rsidRPr="00CB77A7">
        <w:rPr>
          <w:rFonts w:ascii="Times New Roman" w:hAnsi="Times New Roman" w:cs="Times New Roman"/>
          <w:b/>
          <w:bCs/>
          <w:spacing w:val="-1"/>
          <w:sz w:val="24"/>
          <w:szCs w:val="24"/>
        </w:rPr>
        <w:t xml:space="preserve"> </w:t>
      </w:r>
      <w:r w:rsidRPr="00CB77A7">
        <w:rPr>
          <w:rFonts w:ascii="Times New Roman" w:hAnsi="Times New Roman" w:cs="Times New Roman"/>
          <w:b/>
          <w:bCs/>
          <w:sz w:val="24"/>
          <w:szCs w:val="24"/>
        </w:rPr>
        <w:t xml:space="preserve">and </w:t>
      </w:r>
      <w:r w:rsidRPr="00CB77A7">
        <w:rPr>
          <w:rFonts w:ascii="Times New Roman" w:hAnsi="Times New Roman" w:cs="Times New Roman"/>
          <w:b/>
          <w:bCs/>
          <w:spacing w:val="-2"/>
          <w:sz w:val="24"/>
          <w:szCs w:val="24"/>
        </w:rPr>
        <w:t>Discussion</w:t>
      </w:r>
    </w:p>
    <w:p w14:paraId="7FD30CCC" w14:textId="77777777" w:rsidR="004C6797" w:rsidRPr="00CB77A7" w:rsidRDefault="004C6797" w:rsidP="004C6797">
      <w:pPr>
        <w:spacing w:after="0" w:line="240" w:lineRule="auto"/>
        <w:ind w:left="714" w:firstLine="363"/>
        <w:rPr>
          <w:rFonts w:ascii="Times New Roman" w:hAnsi="Times New Roman" w:cs="Times New Roman"/>
          <w:b/>
          <w:bCs/>
          <w:sz w:val="24"/>
          <w:szCs w:val="24"/>
        </w:rPr>
      </w:pPr>
      <w:r w:rsidRPr="00CB77A7">
        <w:rPr>
          <w:rFonts w:ascii="Times New Roman" w:hAnsi="Times New Roman" w:cs="Times New Roman"/>
          <w:b/>
          <w:bCs/>
          <w:sz w:val="24"/>
          <w:szCs w:val="24"/>
        </w:rPr>
        <w:t>The</w:t>
      </w:r>
      <w:r w:rsidRPr="00CB77A7">
        <w:rPr>
          <w:rFonts w:ascii="Times New Roman" w:hAnsi="Times New Roman" w:cs="Times New Roman"/>
          <w:b/>
          <w:bCs/>
          <w:spacing w:val="-8"/>
          <w:sz w:val="24"/>
          <w:szCs w:val="24"/>
        </w:rPr>
        <w:t xml:space="preserve"> </w:t>
      </w:r>
      <w:r w:rsidRPr="00CB77A7">
        <w:rPr>
          <w:rFonts w:ascii="Times New Roman" w:hAnsi="Times New Roman" w:cs="Times New Roman"/>
          <w:b/>
          <w:bCs/>
          <w:sz w:val="24"/>
          <w:szCs w:val="24"/>
        </w:rPr>
        <w:t>Way</w:t>
      </w:r>
      <w:r w:rsidRPr="00CB77A7">
        <w:rPr>
          <w:rFonts w:ascii="Times New Roman" w:hAnsi="Times New Roman" w:cs="Times New Roman"/>
          <w:b/>
          <w:bCs/>
          <w:spacing w:val="-6"/>
          <w:sz w:val="24"/>
          <w:szCs w:val="24"/>
        </w:rPr>
        <w:t xml:space="preserve"> </w:t>
      </w:r>
      <w:r w:rsidRPr="00CB77A7">
        <w:rPr>
          <w:rFonts w:ascii="Times New Roman" w:hAnsi="Times New Roman" w:cs="Times New Roman"/>
          <w:b/>
          <w:bCs/>
          <w:sz w:val="24"/>
          <w:szCs w:val="24"/>
        </w:rPr>
        <w:t>AI</w:t>
      </w:r>
      <w:r w:rsidRPr="00CB77A7">
        <w:rPr>
          <w:rFonts w:ascii="Times New Roman" w:hAnsi="Times New Roman" w:cs="Times New Roman"/>
          <w:b/>
          <w:bCs/>
          <w:spacing w:val="-10"/>
          <w:sz w:val="24"/>
          <w:szCs w:val="24"/>
        </w:rPr>
        <w:t xml:space="preserve"> </w:t>
      </w:r>
      <w:r w:rsidRPr="00CB77A7">
        <w:rPr>
          <w:rFonts w:ascii="Times New Roman" w:hAnsi="Times New Roman" w:cs="Times New Roman"/>
          <w:b/>
          <w:bCs/>
          <w:sz w:val="24"/>
          <w:szCs w:val="24"/>
        </w:rPr>
        <w:t>Enhance</w:t>
      </w:r>
      <w:r w:rsidRPr="00CB77A7">
        <w:rPr>
          <w:rFonts w:ascii="Times New Roman" w:hAnsi="Times New Roman" w:cs="Times New Roman"/>
          <w:b/>
          <w:bCs/>
          <w:spacing w:val="-6"/>
          <w:sz w:val="24"/>
          <w:szCs w:val="24"/>
        </w:rPr>
        <w:t xml:space="preserve"> </w:t>
      </w:r>
      <w:r w:rsidRPr="00CB77A7">
        <w:rPr>
          <w:rFonts w:ascii="Times New Roman" w:hAnsi="Times New Roman" w:cs="Times New Roman"/>
          <w:b/>
          <w:bCs/>
          <w:sz w:val="24"/>
          <w:szCs w:val="24"/>
        </w:rPr>
        <w:t>Every</w:t>
      </w:r>
      <w:r w:rsidRPr="00CB77A7">
        <w:rPr>
          <w:rFonts w:ascii="Times New Roman" w:hAnsi="Times New Roman" w:cs="Times New Roman"/>
          <w:b/>
          <w:bCs/>
          <w:spacing w:val="-3"/>
          <w:sz w:val="24"/>
          <w:szCs w:val="24"/>
        </w:rPr>
        <w:t xml:space="preserve"> </w:t>
      </w:r>
      <w:r w:rsidRPr="00CB77A7">
        <w:rPr>
          <w:rFonts w:ascii="Times New Roman" w:hAnsi="Times New Roman" w:cs="Times New Roman"/>
          <w:b/>
          <w:bCs/>
          <w:sz w:val="24"/>
          <w:szCs w:val="24"/>
        </w:rPr>
        <w:t>Stage</w:t>
      </w:r>
      <w:r w:rsidRPr="00CB77A7">
        <w:rPr>
          <w:rFonts w:ascii="Times New Roman" w:hAnsi="Times New Roman" w:cs="Times New Roman"/>
          <w:b/>
          <w:bCs/>
          <w:spacing w:val="-5"/>
          <w:sz w:val="24"/>
          <w:szCs w:val="24"/>
        </w:rPr>
        <w:t xml:space="preserve"> </w:t>
      </w:r>
      <w:r w:rsidRPr="00CB77A7">
        <w:rPr>
          <w:rFonts w:ascii="Times New Roman" w:hAnsi="Times New Roman" w:cs="Times New Roman"/>
          <w:b/>
          <w:bCs/>
          <w:sz w:val="24"/>
          <w:szCs w:val="24"/>
        </w:rPr>
        <w:t>in</w:t>
      </w:r>
      <w:r w:rsidRPr="00CB77A7">
        <w:rPr>
          <w:rFonts w:ascii="Times New Roman" w:hAnsi="Times New Roman" w:cs="Times New Roman"/>
          <w:b/>
          <w:bCs/>
          <w:spacing w:val="-9"/>
          <w:sz w:val="24"/>
          <w:szCs w:val="24"/>
        </w:rPr>
        <w:t xml:space="preserve"> </w:t>
      </w:r>
      <w:r w:rsidRPr="00CB77A7">
        <w:rPr>
          <w:rFonts w:ascii="Times New Roman" w:hAnsi="Times New Roman" w:cs="Times New Roman"/>
          <w:b/>
          <w:bCs/>
          <w:sz w:val="24"/>
          <w:szCs w:val="24"/>
        </w:rPr>
        <w:t>Public</w:t>
      </w:r>
      <w:r w:rsidRPr="00CB77A7">
        <w:rPr>
          <w:rFonts w:ascii="Times New Roman" w:hAnsi="Times New Roman" w:cs="Times New Roman"/>
          <w:b/>
          <w:bCs/>
          <w:spacing w:val="-8"/>
          <w:sz w:val="24"/>
          <w:szCs w:val="24"/>
        </w:rPr>
        <w:t xml:space="preserve"> </w:t>
      </w:r>
      <w:r w:rsidRPr="00CB77A7">
        <w:rPr>
          <w:rFonts w:ascii="Times New Roman" w:hAnsi="Times New Roman" w:cs="Times New Roman"/>
          <w:b/>
          <w:bCs/>
          <w:sz w:val="24"/>
          <w:szCs w:val="24"/>
        </w:rPr>
        <w:t>Policy</w:t>
      </w:r>
      <w:r w:rsidRPr="00CB77A7">
        <w:rPr>
          <w:rFonts w:ascii="Times New Roman" w:hAnsi="Times New Roman" w:cs="Times New Roman"/>
          <w:b/>
          <w:bCs/>
          <w:spacing w:val="-6"/>
          <w:sz w:val="24"/>
          <w:szCs w:val="24"/>
        </w:rPr>
        <w:t xml:space="preserve"> </w:t>
      </w:r>
      <w:r w:rsidRPr="00CB77A7">
        <w:rPr>
          <w:rFonts w:ascii="Times New Roman" w:hAnsi="Times New Roman" w:cs="Times New Roman"/>
          <w:b/>
          <w:bCs/>
          <w:spacing w:val="-2"/>
          <w:sz w:val="24"/>
          <w:szCs w:val="24"/>
        </w:rPr>
        <w:t>Process</w:t>
      </w:r>
    </w:p>
    <w:p w14:paraId="5E9EF1AF" w14:textId="77777777" w:rsidR="004C6797" w:rsidRPr="003C626F" w:rsidRDefault="004C6797" w:rsidP="004C6797">
      <w:pPr>
        <w:pStyle w:val="BodyText"/>
        <w:jc w:val="both"/>
        <w:rPr>
          <w:rFonts w:ascii="Times New Roman" w:hAnsi="Times New Roman" w:cs="Times New Roman"/>
          <w:b/>
          <w:sz w:val="20"/>
          <w:szCs w:val="20"/>
        </w:rPr>
      </w:pPr>
    </w:p>
    <w:p w14:paraId="12AA9EEB" w14:textId="77777777" w:rsidR="004C6797" w:rsidRPr="003C626F" w:rsidRDefault="004C6797" w:rsidP="004C6797">
      <w:pPr>
        <w:pStyle w:val="ListParagraph"/>
        <w:widowControl w:val="0"/>
        <w:numPr>
          <w:ilvl w:val="1"/>
          <w:numId w:val="15"/>
        </w:numPr>
        <w:tabs>
          <w:tab w:val="left" w:pos="1643"/>
        </w:tabs>
        <w:autoSpaceDE w:val="0"/>
        <w:autoSpaceDN w:val="0"/>
        <w:spacing w:after="0" w:line="240" w:lineRule="auto"/>
        <w:ind w:left="1643" w:hanging="357"/>
        <w:contextualSpacing w:val="0"/>
        <w:rPr>
          <w:rFonts w:ascii="Times New Roman" w:hAnsi="Times New Roman" w:cs="Times New Roman"/>
          <w:sz w:val="20"/>
          <w:szCs w:val="20"/>
        </w:rPr>
      </w:pPr>
      <w:r w:rsidRPr="003C626F">
        <w:rPr>
          <w:rFonts w:ascii="Times New Roman" w:hAnsi="Times New Roman" w:cs="Times New Roman"/>
          <w:sz w:val="20"/>
          <w:szCs w:val="20"/>
        </w:rPr>
        <w:t>AI</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Agenda-</w:t>
      </w:r>
      <w:r w:rsidRPr="003C626F">
        <w:rPr>
          <w:rFonts w:ascii="Times New Roman" w:hAnsi="Times New Roman" w:cs="Times New Roman"/>
          <w:spacing w:val="-2"/>
          <w:sz w:val="20"/>
          <w:szCs w:val="20"/>
        </w:rPr>
        <w:t>Setting</w:t>
      </w:r>
    </w:p>
    <w:p w14:paraId="369F56C4" w14:textId="77777777" w:rsidR="004C6797" w:rsidRPr="003C626F" w:rsidRDefault="004C6797" w:rsidP="004C6797">
      <w:pPr>
        <w:pStyle w:val="BodyText"/>
        <w:ind w:left="1646" w:right="131"/>
        <w:jc w:val="both"/>
        <w:rPr>
          <w:rFonts w:ascii="Times New Roman" w:hAnsi="Times New Roman" w:cs="Times New Roman"/>
          <w:sz w:val="20"/>
          <w:szCs w:val="20"/>
        </w:rPr>
      </w:pPr>
      <w:r w:rsidRPr="003C626F">
        <w:rPr>
          <w:rFonts w:ascii="Times New Roman" w:hAnsi="Times New Roman" w:cs="Times New Roman"/>
          <w:sz w:val="20"/>
          <w:szCs w:val="20"/>
        </w:rPr>
        <w:t xml:space="preserve">A number of studies collected by the author emphasize that the utilization of AI can significantly be used to read the aspirations and expectations of the public, as well as the issues or topics that are currently being widely discussed. </w:t>
      </w:r>
      <w:proofErr w:type="spellStart"/>
      <w:r w:rsidRPr="003C626F">
        <w:rPr>
          <w:rFonts w:ascii="Times New Roman" w:hAnsi="Times New Roman" w:cs="Times New Roman"/>
          <w:b/>
          <w:sz w:val="20"/>
          <w:szCs w:val="20"/>
        </w:rPr>
        <w:t>Sukhwal</w:t>
      </w:r>
      <w:proofErr w:type="spellEnd"/>
      <w:r w:rsidRPr="003C626F">
        <w:rPr>
          <w:rFonts w:ascii="Times New Roman" w:hAnsi="Times New Roman" w:cs="Times New Roman"/>
          <w:b/>
          <w:sz w:val="20"/>
          <w:szCs w:val="20"/>
        </w:rPr>
        <w:t xml:space="preserve"> et al. (2022)</w:t>
      </w:r>
      <w:r w:rsidRPr="003C626F">
        <w:rPr>
          <w:rFonts w:ascii="Times New Roman" w:hAnsi="Times New Roman" w:cs="Times New Roman"/>
          <w:sz w:val="20"/>
          <w:szCs w:val="20"/>
        </w:rPr>
        <w:t xml:space="preserve">, through their research, demonstrate that AI can be utilized to analyze data collected from social media to assess public sentiment and identify emerging social issues, particularly in the context of responses to the COVID-19 pandemic that occurred recently. </w:t>
      </w:r>
      <w:r w:rsidRPr="003C626F">
        <w:rPr>
          <w:rFonts w:ascii="Times New Roman" w:hAnsi="Times New Roman" w:cs="Times New Roman"/>
          <w:b/>
          <w:sz w:val="20"/>
          <w:szCs w:val="20"/>
        </w:rPr>
        <w:t xml:space="preserve">Du et al. (2017) </w:t>
      </w:r>
      <w:r w:rsidRPr="003C626F">
        <w:rPr>
          <w:rFonts w:ascii="Times New Roman" w:hAnsi="Times New Roman" w:cs="Times New Roman"/>
          <w:sz w:val="20"/>
          <w:szCs w:val="20"/>
        </w:rPr>
        <w:t>also</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confirm through their findings how sentiment analysis based on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machine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learning</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can assess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sentiment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regarding</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HPV</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vaccination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by collecting data from Twitter. Furthermore, the argument that AI can be a highly effective tool for reading developing issues by analyzing public sentiment on social media</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supported by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findings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
          <w:sz w:val="20"/>
          <w:szCs w:val="20"/>
        </w:rPr>
        <w:t xml:space="preserve"> </w:t>
      </w:r>
      <w:r w:rsidRPr="003C626F">
        <w:rPr>
          <w:rFonts w:ascii="Times New Roman" w:hAnsi="Times New Roman" w:cs="Times New Roman"/>
          <w:b/>
          <w:sz w:val="20"/>
          <w:szCs w:val="20"/>
        </w:rPr>
        <w:t xml:space="preserve">Boon </w:t>
      </w:r>
      <w:proofErr w:type="spellStart"/>
      <w:r w:rsidRPr="003C626F">
        <w:rPr>
          <w:rFonts w:ascii="Times New Roman" w:hAnsi="Times New Roman" w:cs="Times New Roman"/>
          <w:b/>
          <w:sz w:val="20"/>
          <w:szCs w:val="20"/>
        </w:rPr>
        <w:t>Itt</w:t>
      </w:r>
      <w:proofErr w:type="spellEnd"/>
      <w:r w:rsidRPr="003C626F">
        <w:rPr>
          <w:rFonts w:ascii="Times New Roman" w:hAnsi="Times New Roman" w:cs="Times New Roman"/>
          <w:b/>
          <w:sz w:val="20"/>
          <w:szCs w:val="20"/>
        </w:rPr>
        <w:t xml:space="preserve"> et al (2020)</w:t>
      </w:r>
      <w:r w:rsidRPr="003C626F">
        <w:rPr>
          <w:rFonts w:ascii="Times New Roman" w:hAnsi="Times New Roman" w:cs="Times New Roman"/>
          <w:sz w:val="20"/>
          <w:szCs w:val="20"/>
        </w:rPr>
        <w: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who</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found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sentiment analysis on Twitter during the COVID-19 pandemic effectively revealed public concerns and provided insights into public awareness of emerging discussion topics. Thus, AI will be able to become a game changer. By analyzing public sentiment, absorbing public aspirations, and ultimately providing the basis for policymakers in setting public agendas, AI will play a crucial role in this process.</w:t>
      </w:r>
    </w:p>
    <w:p w14:paraId="19D07C4A" w14:textId="77777777" w:rsidR="004C6797" w:rsidRPr="003C626F" w:rsidRDefault="004C6797" w:rsidP="004C6797">
      <w:pPr>
        <w:pStyle w:val="BodyText"/>
        <w:jc w:val="both"/>
        <w:rPr>
          <w:rFonts w:ascii="Times New Roman" w:hAnsi="Times New Roman" w:cs="Times New Roman"/>
          <w:sz w:val="20"/>
          <w:szCs w:val="20"/>
        </w:rPr>
      </w:pPr>
    </w:p>
    <w:p w14:paraId="6E3CE99D" w14:textId="77777777" w:rsidR="004C6797" w:rsidRPr="003C626F" w:rsidRDefault="004C6797" w:rsidP="004C6797">
      <w:pPr>
        <w:pStyle w:val="ListParagraph"/>
        <w:widowControl w:val="0"/>
        <w:numPr>
          <w:ilvl w:val="1"/>
          <w:numId w:val="15"/>
        </w:numPr>
        <w:tabs>
          <w:tab w:val="left" w:pos="1643"/>
        </w:tabs>
        <w:autoSpaceDE w:val="0"/>
        <w:autoSpaceDN w:val="0"/>
        <w:spacing w:after="0" w:line="240" w:lineRule="auto"/>
        <w:ind w:left="1643" w:hanging="357"/>
        <w:contextualSpacing w:val="0"/>
        <w:rPr>
          <w:rFonts w:ascii="Times New Roman" w:hAnsi="Times New Roman" w:cs="Times New Roman"/>
          <w:sz w:val="20"/>
          <w:szCs w:val="20"/>
        </w:rPr>
      </w:pPr>
      <w:r w:rsidRPr="003C626F">
        <w:rPr>
          <w:rFonts w:ascii="Times New Roman" w:hAnsi="Times New Roman" w:cs="Times New Roman"/>
          <w:sz w:val="20"/>
          <w:szCs w:val="20"/>
        </w:rPr>
        <w:t>AI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4"/>
          <w:sz w:val="20"/>
          <w:szCs w:val="20"/>
        </w:rPr>
        <w:t xml:space="preserve"> </w:t>
      </w:r>
      <w:r w:rsidRPr="003C626F">
        <w:rPr>
          <w:rFonts w:ascii="Times New Roman" w:hAnsi="Times New Roman" w:cs="Times New Roman"/>
          <w:spacing w:val="-2"/>
          <w:sz w:val="20"/>
          <w:szCs w:val="20"/>
        </w:rPr>
        <w:t>Formulation</w:t>
      </w:r>
    </w:p>
    <w:p w14:paraId="31DB17DC" w14:textId="77777777" w:rsidR="004C6797" w:rsidRPr="003C626F" w:rsidRDefault="004C6797" w:rsidP="004C6797">
      <w:pPr>
        <w:pStyle w:val="BodyText"/>
        <w:ind w:left="1646" w:right="131"/>
        <w:jc w:val="both"/>
        <w:rPr>
          <w:rFonts w:ascii="Times New Roman" w:hAnsi="Times New Roman" w:cs="Times New Roman"/>
          <w:sz w:val="20"/>
          <w:szCs w:val="20"/>
        </w:rPr>
      </w:pPr>
      <w:r w:rsidRPr="003C626F">
        <w:rPr>
          <w:rFonts w:ascii="Times New Roman" w:hAnsi="Times New Roman" w:cs="Times New Roman"/>
          <w:sz w:val="20"/>
          <w:szCs w:val="20"/>
        </w:rPr>
        <w:t>After</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agenda-setting</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stage,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policymakers,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according</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Dunn's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cycle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theory, will formulate various policy alternatives. The issues that have been identified as public agendas will be addressed with different solutions and policies to meet the demands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and expectations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 public. In this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process, AI can play a</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significant</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 xml:space="preserve">role in several ways. First, </w:t>
      </w:r>
      <w:r w:rsidRPr="003C626F">
        <w:rPr>
          <w:rFonts w:ascii="Times New Roman" w:hAnsi="Times New Roman" w:cs="Times New Roman"/>
          <w:b/>
          <w:sz w:val="20"/>
          <w:szCs w:val="20"/>
        </w:rPr>
        <w:t xml:space="preserve">Martino (2023) </w:t>
      </w:r>
      <w:r w:rsidRPr="003C626F">
        <w:rPr>
          <w:rFonts w:ascii="Times New Roman" w:hAnsi="Times New Roman" w:cs="Times New Roman"/>
          <w:sz w:val="20"/>
          <w:szCs w:val="20"/>
        </w:rPr>
        <w:t>explains that AI enables policymakers to conduct predictive modeling and simulations, which ultimately gives the government the</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opportunity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predict</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potential</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impacts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various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types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alternative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 xml:space="preserve">solutions or policies available. This argument is further reinforced by other findings. In policy formulation, </w:t>
      </w:r>
      <w:r w:rsidRPr="003C626F">
        <w:rPr>
          <w:rFonts w:ascii="Times New Roman" w:hAnsi="Times New Roman" w:cs="Times New Roman"/>
          <w:b/>
          <w:sz w:val="20"/>
          <w:szCs w:val="20"/>
        </w:rPr>
        <w:t>Zhu (2024</w:t>
      </w:r>
      <w:r w:rsidRPr="003C626F">
        <w:rPr>
          <w:rFonts w:ascii="Times New Roman" w:hAnsi="Times New Roman" w:cs="Times New Roman"/>
          <w:sz w:val="20"/>
          <w:szCs w:val="20"/>
        </w:rPr>
        <w: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explains that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governments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are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routinely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required</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to estimate the costs, benefits, and impacts of policy choices. In this phase, AI's ability to predict various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scenarios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becomes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highly</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beneficial</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powerful,</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not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only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predicts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costs and benefits but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also estimates the potential implications of each choice </w:t>
      </w:r>
      <w:r w:rsidRPr="003C626F">
        <w:rPr>
          <w:rFonts w:ascii="Times New Roman" w:hAnsi="Times New Roman" w:cs="Times New Roman"/>
          <w:b/>
          <w:sz w:val="20"/>
          <w:szCs w:val="20"/>
        </w:rPr>
        <w:t>(Zhu, 2024)</w:t>
      </w:r>
      <w:r w:rsidRPr="003C626F">
        <w:rPr>
          <w:rFonts w:ascii="Times New Roman" w:hAnsi="Times New Roman" w:cs="Times New Roman"/>
          <w:sz w:val="20"/>
          <w:szCs w:val="20"/>
        </w:rPr>
        <w:t>. Therefore, to reiterate, AI's role in the policy formulation process is to conduct modeling simulations, provide predictions of various impacts, and offer the best alternatives to address the issues at hand.</w:t>
      </w:r>
    </w:p>
    <w:p w14:paraId="3D2F1516" w14:textId="77777777" w:rsidR="004C6797" w:rsidRPr="003C626F" w:rsidRDefault="004C6797" w:rsidP="004C6797">
      <w:pPr>
        <w:pStyle w:val="BodyText"/>
        <w:jc w:val="both"/>
        <w:rPr>
          <w:rFonts w:ascii="Times New Roman" w:hAnsi="Times New Roman" w:cs="Times New Roman"/>
          <w:sz w:val="20"/>
          <w:szCs w:val="20"/>
        </w:rPr>
      </w:pPr>
    </w:p>
    <w:p w14:paraId="5248AF61" w14:textId="77777777" w:rsidR="004C6797" w:rsidRPr="003C626F" w:rsidRDefault="004C6797" w:rsidP="004C6797">
      <w:pPr>
        <w:pStyle w:val="ListParagraph"/>
        <w:widowControl w:val="0"/>
        <w:numPr>
          <w:ilvl w:val="1"/>
          <w:numId w:val="15"/>
        </w:numPr>
        <w:tabs>
          <w:tab w:val="left" w:pos="1643"/>
        </w:tabs>
        <w:autoSpaceDE w:val="0"/>
        <w:autoSpaceDN w:val="0"/>
        <w:spacing w:after="0" w:line="240" w:lineRule="auto"/>
        <w:ind w:left="1643" w:hanging="357"/>
        <w:contextualSpacing w:val="0"/>
        <w:rPr>
          <w:rFonts w:ascii="Times New Roman" w:hAnsi="Times New Roman" w:cs="Times New Roman"/>
          <w:sz w:val="20"/>
          <w:szCs w:val="20"/>
        </w:rPr>
      </w:pPr>
      <w:r w:rsidRPr="003C626F">
        <w:rPr>
          <w:rFonts w:ascii="Times New Roman" w:hAnsi="Times New Roman" w:cs="Times New Roman"/>
          <w:sz w:val="20"/>
          <w:szCs w:val="20"/>
        </w:rPr>
        <w:t>AI</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4"/>
          <w:sz w:val="20"/>
          <w:szCs w:val="20"/>
        </w:rPr>
        <w:t xml:space="preserve"> </w:t>
      </w:r>
      <w:r w:rsidRPr="003C626F">
        <w:rPr>
          <w:rFonts w:ascii="Times New Roman" w:hAnsi="Times New Roman" w:cs="Times New Roman"/>
          <w:spacing w:val="-2"/>
          <w:sz w:val="20"/>
          <w:szCs w:val="20"/>
        </w:rPr>
        <w:t>Adoption</w:t>
      </w:r>
    </w:p>
    <w:p w14:paraId="497CF388" w14:textId="77777777" w:rsidR="004C6797" w:rsidRPr="003C626F" w:rsidRDefault="004C6797" w:rsidP="004C6797">
      <w:pPr>
        <w:pStyle w:val="BodyText"/>
        <w:ind w:left="1646" w:right="131"/>
        <w:jc w:val="both"/>
        <w:rPr>
          <w:rFonts w:ascii="Times New Roman" w:hAnsi="Times New Roman" w:cs="Times New Roman"/>
          <w:sz w:val="20"/>
          <w:szCs w:val="20"/>
        </w:rPr>
      </w:pPr>
      <w:r w:rsidRPr="003C626F">
        <w:rPr>
          <w:rFonts w:ascii="Times New Roman" w:hAnsi="Times New Roman" w:cs="Times New Roman"/>
          <w:sz w:val="20"/>
          <w:szCs w:val="20"/>
        </w:rPr>
        <w:t>One of the most fundamental issues in the process of adopting policies or making public</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decisions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conflict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interest.</w:t>
      </w:r>
      <w:r w:rsidRPr="003C626F">
        <w:rPr>
          <w:rFonts w:ascii="Times New Roman" w:hAnsi="Times New Roman" w:cs="Times New Roman"/>
          <w:spacing w:val="-7"/>
          <w:sz w:val="20"/>
          <w:szCs w:val="20"/>
        </w:rPr>
        <w:t xml:space="preserve"> </w:t>
      </w:r>
      <w:r w:rsidRPr="003C626F">
        <w:rPr>
          <w:rFonts w:ascii="Times New Roman" w:hAnsi="Times New Roman" w:cs="Times New Roman"/>
          <w:b/>
          <w:sz w:val="20"/>
          <w:szCs w:val="20"/>
        </w:rPr>
        <w:t>Boyce</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et</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al.</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(2009)</w:t>
      </w:r>
      <w:r w:rsidRPr="003C626F">
        <w:rPr>
          <w:rFonts w:ascii="Times New Roman" w:hAnsi="Times New Roman" w:cs="Times New Roman"/>
          <w:sz w:val="20"/>
          <w:szCs w:val="20"/>
        </w:rPr>
        <w: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article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titled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 xml:space="preserve">"Conflict of Interest in Policing and Public Sector," explain that conflict of interest negatively impacts the policy adoption process or decision-making in the public sector. In this context, AI can play a vital role due to its ability to provide more objective policy recommendations based on data and evidence. In an article written by </w:t>
      </w:r>
      <w:proofErr w:type="spellStart"/>
      <w:r w:rsidRPr="003C626F">
        <w:rPr>
          <w:rFonts w:ascii="Times New Roman" w:hAnsi="Times New Roman" w:cs="Times New Roman"/>
          <w:b/>
          <w:sz w:val="20"/>
          <w:szCs w:val="20"/>
        </w:rPr>
        <w:t>Shrivasta</w:t>
      </w:r>
      <w:proofErr w:type="spellEnd"/>
      <w:r w:rsidRPr="003C626F">
        <w:rPr>
          <w:rFonts w:ascii="Times New Roman" w:hAnsi="Times New Roman" w:cs="Times New Roman"/>
          <w:b/>
          <w:sz w:val="20"/>
          <w:szCs w:val="20"/>
        </w:rPr>
        <w:t xml:space="preserve"> (2023)</w:t>
      </w:r>
      <w:r w:rsidRPr="003C626F">
        <w:rPr>
          <w:rFonts w:ascii="Times New Roman" w:hAnsi="Times New Roman" w:cs="Times New Roman"/>
          <w:sz w:val="20"/>
          <w:szCs w:val="20"/>
        </w:rPr>
        <w:t>, titled "The Role of Artificial Intelligence in Enhancing Public Policy," he explains that in the face of an increasingly fast-paced world, the public expects policymakers to make significant decisions with the help of vast knowledge, relevant data,</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understanding</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complex</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information.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according</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2"/>
          <w:sz w:val="20"/>
          <w:szCs w:val="20"/>
        </w:rPr>
        <w:t xml:space="preserve"> </w:t>
      </w:r>
      <w:proofErr w:type="spellStart"/>
      <w:r w:rsidRPr="003C626F">
        <w:rPr>
          <w:rFonts w:ascii="Times New Roman" w:hAnsi="Times New Roman" w:cs="Times New Roman"/>
          <w:b/>
          <w:sz w:val="20"/>
          <w:szCs w:val="20"/>
        </w:rPr>
        <w:t>Shrivasta</w:t>
      </w:r>
      <w:proofErr w:type="spellEnd"/>
      <w:r w:rsidRPr="003C626F">
        <w:rPr>
          <w:rFonts w:ascii="Times New Roman" w:hAnsi="Times New Roman" w:cs="Times New Roman"/>
          <w:b/>
          <w:spacing w:val="-13"/>
          <w:sz w:val="20"/>
          <w:szCs w:val="20"/>
        </w:rPr>
        <w:t xml:space="preserve"> </w:t>
      </w:r>
      <w:r w:rsidRPr="003C626F">
        <w:rPr>
          <w:rFonts w:ascii="Times New Roman" w:hAnsi="Times New Roman" w:cs="Times New Roman"/>
          <w:b/>
          <w:sz w:val="20"/>
          <w:szCs w:val="20"/>
        </w:rPr>
        <w:t>(2023)</w:t>
      </w:r>
      <w:r w:rsidRPr="003C626F">
        <w:rPr>
          <w:rFonts w:ascii="Times New Roman" w:hAnsi="Times New Roman" w:cs="Times New Roman"/>
          <w:sz w:val="20"/>
          <w:szCs w:val="20"/>
        </w:rPr>
        <w:t xml:space="preserve">, comes with analytical tools that meet these expectations and needs. Additionally, </w:t>
      </w:r>
      <w:r w:rsidRPr="003C626F">
        <w:rPr>
          <w:rFonts w:ascii="Times New Roman" w:hAnsi="Times New Roman" w:cs="Times New Roman"/>
          <w:b/>
          <w:sz w:val="20"/>
          <w:szCs w:val="20"/>
        </w:rPr>
        <w:t>Martino</w:t>
      </w:r>
      <w:r w:rsidRPr="003C626F">
        <w:rPr>
          <w:rFonts w:ascii="Times New Roman" w:hAnsi="Times New Roman" w:cs="Times New Roman"/>
          <w:b/>
          <w:spacing w:val="40"/>
          <w:sz w:val="20"/>
          <w:szCs w:val="20"/>
        </w:rPr>
        <w:t xml:space="preserve"> </w:t>
      </w:r>
      <w:r w:rsidRPr="003C626F">
        <w:rPr>
          <w:rFonts w:ascii="Times New Roman" w:hAnsi="Times New Roman" w:cs="Times New Roman"/>
          <w:b/>
          <w:sz w:val="20"/>
          <w:szCs w:val="20"/>
        </w:rPr>
        <w:t>(2023)</w:t>
      </w:r>
      <w:r w:rsidRPr="003C626F">
        <w:rPr>
          <w:rFonts w:ascii="Times New Roman" w:hAnsi="Times New Roman" w:cs="Times New Roman"/>
          <w:b/>
          <w:spacing w:val="40"/>
          <w:sz w:val="20"/>
          <w:szCs w:val="20"/>
        </w:rPr>
        <w:t xml:space="preserve"> </w:t>
      </w:r>
      <w:r w:rsidRPr="003C626F">
        <w:rPr>
          <w:rFonts w:ascii="Times New Roman" w:hAnsi="Times New Roman" w:cs="Times New Roman"/>
          <w:sz w:val="20"/>
          <w:szCs w:val="20"/>
        </w:rPr>
        <w:t>shows</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AI's</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advanced</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automation</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capabilities</w:t>
      </w:r>
      <w:r w:rsidRPr="003C626F">
        <w:rPr>
          <w:rFonts w:ascii="Times New Roman" w:hAnsi="Times New Roman" w:cs="Times New Roman"/>
          <w:spacing w:val="40"/>
          <w:sz w:val="20"/>
          <w:szCs w:val="20"/>
        </w:rPr>
        <w:t xml:space="preserve"> </w:t>
      </w:r>
      <w:r w:rsidRPr="003C626F">
        <w:rPr>
          <w:rFonts w:ascii="Times New Roman" w:hAnsi="Times New Roman" w:cs="Times New Roman"/>
          <w:sz w:val="20"/>
          <w:szCs w:val="20"/>
        </w:rPr>
        <w:t>significantly</w:t>
      </w:r>
    </w:p>
    <w:p w14:paraId="59977355" w14:textId="77777777" w:rsidR="004C6797" w:rsidRPr="003C626F" w:rsidRDefault="004C6797" w:rsidP="004C6797">
      <w:pPr>
        <w:pStyle w:val="BodyText"/>
        <w:jc w:val="both"/>
        <w:rPr>
          <w:rFonts w:ascii="Times New Roman" w:hAnsi="Times New Roman" w:cs="Times New Roman"/>
          <w:sz w:val="20"/>
          <w:szCs w:val="20"/>
        </w:rPr>
        <w:sectPr w:rsidR="004C6797" w:rsidRPr="003C626F" w:rsidSect="004C6797">
          <w:pgSz w:w="11920" w:h="16850"/>
          <w:pgMar w:top="1580" w:right="1559" w:bottom="280" w:left="1700" w:header="715" w:footer="0" w:gutter="0"/>
          <w:cols w:space="720"/>
        </w:sectPr>
      </w:pPr>
    </w:p>
    <w:p w14:paraId="2230764C" w14:textId="77777777" w:rsidR="004C6797" w:rsidRPr="003C626F" w:rsidRDefault="004C6797" w:rsidP="004C6797">
      <w:pPr>
        <w:pStyle w:val="BodyText"/>
        <w:ind w:left="1646" w:right="139"/>
        <w:jc w:val="both"/>
        <w:rPr>
          <w:rFonts w:ascii="Times New Roman" w:hAnsi="Times New Roman" w:cs="Times New Roman"/>
          <w:sz w:val="20"/>
          <w:szCs w:val="20"/>
        </w:rPr>
      </w:pPr>
      <w:r w:rsidRPr="003C626F">
        <w:rPr>
          <w:rFonts w:ascii="Times New Roman" w:hAnsi="Times New Roman" w:cs="Times New Roman"/>
          <w:sz w:val="20"/>
          <w:szCs w:val="20"/>
        </w:rPr>
        <w:t>accelerate the decision-making and policy adoption process by providing instant and rapid access to data sources and analysis results. Thus, the process of choosing one among many alternatives, using artificial intelligence, will be more objective as it is based on analyzed data, minimizing conflicts of interest, and can be carried out with better acceleration than before.</w:t>
      </w:r>
    </w:p>
    <w:p w14:paraId="38370319" w14:textId="77777777" w:rsidR="004C6797" w:rsidRPr="003C626F" w:rsidRDefault="004C6797" w:rsidP="004C6797">
      <w:pPr>
        <w:pStyle w:val="ListParagraph"/>
        <w:widowControl w:val="0"/>
        <w:numPr>
          <w:ilvl w:val="1"/>
          <w:numId w:val="15"/>
        </w:numPr>
        <w:tabs>
          <w:tab w:val="left" w:pos="1643"/>
        </w:tabs>
        <w:autoSpaceDE w:val="0"/>
        <w:autoSpaceDN w:val="0"/>
        <w:spacing w:after="0" w:line="240" w:lineRule="auto"/>
        <w:ind w:left="1643" w:hanging="357"/>
        <w:contextualSpacing w:val="0"/>
        <w:rPr>
          <w:rFonts w:ascii="Times New Roman" w:hAnsi="Times New Roman" w:cs="Times New Roman"/>
          <w:sz w:val="20"/>
          <w:szCs w:val="20"/>
        </w:rPr>
      </w:pPr>
      <w:r w:rsidRPr="003C626F">
        <w:rPr>
          <w:rFonts w:ascii="Times New Roman" w:hAnsi="Times New Roman" w:cs="Times New Roman"/>
          <w:sz w:val="20"/>
          <w:szCs w:val="20"/>
        </w:rPr>
        <w:t>AI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2"/>
          <w:sz w:val="20"/>
          <w:szCs w:val="20"/>
        </w:rPr>
        <w:t xml:space="preserve"> Implementation</w:t>
      </w:r>
    </w:p>
    <w:p w14:paraId="317EA67B" w14:textId="77777777" w:rsidR="004C6797" w:rsidRPr="003C626F" w:rsidRDefault="004C6797" w:rsidP="004C6797">
      <w:pPr>
        <w:pStyle w:val="BodyText"/>
        <w:ind w:left="1646" w:right="131"/>
        <w:jc w:val="both"/>
        <w:rPr>
          <w:rFonts w:ascii="Times New Roman" w:hAnsi="Times New Roman" w:cs="Times New Roman"/>
          <w:b/>
          <w:sz w:val="20"/>
          <w:szCs w:val="20"/>
        </w:rPr>
      </w:pPr>
      <w:r w:rsidRPr="003C626F">
        <w:rPr>
          <w:rFonts w:ascii="Times New Roman" w:hAnsi="Times New Roman" w:cs="Times New Roman"/>
          <w:sz w:val="20"/>
          <w:szCs w:val="20"/>
        </w:rPr>
        <w:t>After a</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policy alternative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is agreed upon, the next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stage is to implement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it, translating it into real-world applications that are expected to address societal issues. </w:t>
      </w:r>
      <w:r w:rsidRPr="003C626F">
        <w:rPr>
          <w:rFonts w:ascii="Times New Roman" w:hAnsi="Times New Roman" w:cs="Times New Roman"/>
          <w:b/>
          <w:sz w:val="20"/>
          <w:szCs w:val="20"/>
        </w:rPr>
        <w:t>Eggers et al.</w:t>
      </w:r>
      <w:r w:rsidRPr="003C626F">
        <w:rPr>
          <w:rFonts w:ascii="Times New Roman" w:hAnsi="Times New Roman" w:cs="Times New Roman"/>
          <w:b/>
          <w:spacing w:val="-13"/>
          <w:sz w:val="20"/>
          <w:szCs w:val="20"/>
        </w:rPr>
        <w:t xml:space="preserve"> </w:t>
      </w:r>
      <w:r w:rsidRPr="003C626F">
        <w:rPr>
          <w:rFonts w:ascii="Times New Roman" w:hAnsi="Times New Roman" w:cs="Times New Roman"/>
          <w:b/>
          <w:sz w:val="20"/>
          <w:szCs w:val="20"/>
        </w:rPr>
        <w:t>(2017)</w:t>
      </w:r>
      <w:r w:rsidRPr="003C626F">
        <w:rPr>
          <w:rFonts w:ascii="Times New Roman" w:hAnsi="Times New Roman" w:cs="Times New Roman"/>
          <w:b/>
          <w:spacing w:val="-7"/>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3"/>
          <w:sz w:val="20"/>
          <w:szCs w:val="20"/>
        </w:rPr>
        <w:t xml:space="preserve"> </w:t>
      </w:r>
      <w:r w:rsidRPr="003C626F">
        <w:rPr>
          <w:rFonts w:ascii="Times New Roman" w:hAnsi="Times New Roman" w:cs="Times New Roman"/>
          <w:b/>
          <w:sz w:val="20"/>
          <w:szCs w:val="20"/>
        </w:rPr>
        <w:t>Mehr</w:t>
      </w:r>
      <w:r w:rsidRPr="003C626F">
        <w:rPr>
          <w:rFonts w:ascii="Times New Roman" w:hAnsi="Times New Roman" w:cs="Times New Roman"/>
          <w:b/>
          <w:spacing w:val="-9"/>
          <w:sz w:val="20"/>
          <w:szCs w:val="20"/>
        </w:rPr>
        <w:t xml:space="preserve"> </w:t>
      </w:r>
      <w:r w:rsidRPr="003C626F">
        <w:rPr>
          <w:rFonts w:ascii="Times New Roman" w:hAnsi="Times New Roman" w:cs="Times New Roman"/>
          <w:b/>
          <w:sz w:val="20"/>
          <w:szCs w:val="20"/>
        </w:rPr>
        <w:t>(2017)</w:t>
      </w:r>
      <w:r w:rsidRPr="003C626F">
        <w:rPr>
          <w:rFonts w:ascii="Times New Roman" w:hAnsi="Times New Roman" w:cs="Times New Roman"/>
          <w:b/>
          <w:spacing w:val="-7"/>
          <w:sz w:val="20"/>
          <w:szCs w:val="20"/>
        </w:rPr>
        <w:t xml:space="preserve"> </w:t>
      </w:r>
      <w:r w:rsidRPr="003C626F">
        <w:rPr>
          <w:rFonts w:ascii="Times New Roman" w:hAnsi="Times New Roman" w:cs="Times New Roman"/>
          <w:sz w:val="20"/>
          <w:szCs w:val="20"/>
        </w:rPr>
        <w:t>assert,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based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their</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findings,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various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applications such as "AI Process Automation," "Predictive Analytics," "Virtual Agents," and "Cognitive Robotics" are crucial for improving efficiency and saving costs in bureaucratic processes by automating processes, helping allocate available resources, 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reducing</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wait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times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administrative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burdens.</w:t>
      </w:r>
      <w:r w:rsidRPr="003C626F">
        <w:rPr>
          <w:rFonts w:ascii="Times New Roman" w:hAnsi="Times New Roman" w:cs="Times New Roman"/>
          <w:spacing w:val="-6"/>
          <w:sz w:val="20"/>
          <w:szCs w:val="20"/>
        </w:rPr>
        <w:t xml:space="preserve"> </w:t>
      </w:r>
      <w:r w:rsidRPr="003C626F">
        <w:rPr>
          <w:rFonts w:ascii="Times New Roman" w:hAnsi="Times New Roman" w:cs="Times New Roman"/>
          <w:b/>
          <w:sz w:val="20"/>
          <w:szCs w:val="20"/>
        </w:rPr>
        <w:t>Wirtz</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(2018)</w:t>
      </w:r>
      <w:r w:rsidRPr="003C626F">
        <w:rPr>
          <w:rFonts w:ascii="Times New Roman" w:hAnsi="Times New Roman" w:cs="Times New Roman"/>
          <w:b/>
          <w:spacing w:val="-2"/>
          <w:sz w:val="20"/>
          <w:szCs w:val="20"/>
        </w:rPr>
        <w:t xml:space="preserve"> </w:t>
      </w:r>
      <w:r w:rsidRPr="003C626F">
        <w:rPr>
          <w:rFonts w:ascii="Times New Roman" w:hAnsi="Times New Roman" w:cs="Times New Roman"/>
          <w:sz w:val="20"/>
          <w:szCs w:val="20"/>
        </w:rPr>
        <w:t>similarly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states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that in</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implementation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significantly</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enhances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efficiency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due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its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 xml:space="preserve">capacity to automate routine and repetitive tasks, which ultimately allows public officials to focus more on more complex tasks and responsibilities. This increased efficiency in public service and policy implementation will, of course, be highly beneficial to society. A real-world case can be found in articles by </w:t>
      </w:r>
      <w:r w:rsidRPr="003C626F">
        <w:rPr>
          <w:rFonts w:ascii="Times New Roman" w:hAnsi="Times New Roman" w:cs="Times New Roman"/>
          <w:b/>
          <w:sz w:val="20"/>
          <w:szCs w:val="20"/>
        </w:rPr>
        <w:t xml:space="preserve">Chun et al. (2007, 2008) </w:t>
      </w:r>
      <w:r w:rsidRPr="003C626F">
        <w:rPr>
          <w:rFonts w:ascii="Times New Roman" w:hAnsi="Times New Roman" w:cs="Times New Roman"/>
          <w:sz w:val="20"/>
          <w:szCs w:val="20"/>
        </w:rPr>
        <w:t>that address service-based applications in public administration processes, optimizing immigration forms using AI technology. This AI-based service has been shown to significantly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reduce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workload</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employees,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shorten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required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processing</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time, improve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workflow</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efficiency,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ultimately</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contribute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economic</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growth</w:t>
      </w:r>
      <w:r w:rsidRPr="003C626F">
        <w:rPr>
          <w:rFonts w:ascii="Times New Roman" w:hAnsi="Times New Roman" w:cs="Times New Roman"/>
          <w:spacing w:val="-2"/>
          <w:sz w:val="20"/>
          <w:szCs w:val="20"/>
        </w:rPr>
        <w:t xml:space="preserve"> </w:t>
      </w:r>
      <w:r w:rsidRPr="003C626F">
        <w:rPr>
          <w:rFonts w:ascii="Times New Roman" w:hAnsi="Times New Roman" w:cs="Times New Roman"/>
          <w:b/>
          <w:sz w:val="20"/>
          <w:szCs w:val="20"/>
        </w:rPr>
        <w:t>(Chun</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et al., 2007, 2008).</w:t>
      </w:r>
    </w:p>
    <w:p w14:paraId="62C592B3" w14:textId="77777777" w:rsidR="004C6797" w:rsidRPr="003C626F" w:rsidRDefault="004C6797" w:rsidP="004C6797">
      <w:pPr>
        <w:pStyle w:val="BodyText"/>
        <w:jc w:val="both"/>
        <w:rPr>
          <w:rFonts w:ascii="Times New Roman" w:hAnsi="Times New Roman" w:cs="Times New Roman"/>
          <w:b/>
          <w:sz w:val="20"/>
          <w:szCs w:val="20"/>
        </w:rPr>
      </w:pPr>
    </w:p>
    <w:p w14:paraId="5099CAF2" w14:textId="77777777" w:rsidR="004C6797" w:rsidRPr="003C626F" w:rsidRDefault="004C6797" w:rsidP="004C6797">
      <w:pPr>
        <w:pStyle w:val="ListParagraph"/>
        <w:widowControl w:val="0"/>
        <w:numPr>
          <w:ilvl w:val="1"/>
          <w:numId w:val="15"/>
        </w:numPr>
        <w:tabs>
          <w:tab w:val="left" w:pos="1642"/>
        </w:tabs>
        <w:autoSpaceDE w:val="0"/>
        <w:autoSpaceDN w:val="0"/>
        <w:spacing w:after="0" w:line="240" w:lineRule="auto"/>
        <w:ind w:left="1642" w:hanging="356"/>
        <w:contextualSpacing w:val="0"/>
        <w:rPr>
          <w:rFonts w:ascii="Times New Roman" w:hAnsi="Times New Roman" w:cs="Times New Roman"/>
          <w:sz w:val="20"/>
          <w:szCs w:val="20"/>
        </w:rPr>
      </w:pPr>
      <w:r w:rsidRPr="003C626F">
        <w:rPr>
          <w:rFonts w:ascii="Times New Roman" w:hAnsi="Times New Roman" w:cs="Times New Roman"/>
          <w:sz w:val="20"/>
          <w:szCs w:val="20"/>
        </w:rPr>
        <w:t>AI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4"/>
          <w:sz w:val="20"/>
          <w:szCs w:val="20"/>
        </w:rPr>
        <w:t xml:space="preserve"> </w:t>
      </w:r>
      <w:r w:rsidRPr="003C626F">
        <w:rPr>
          <w:rFonts w:ascii="Times New Roman" w:hAnsi="Times New Roman" w:cs="Times New Roman"/>
          <w:spacing w:val="-2"/>
          <w:sz w:val="20"/>
          <w:szCs w:val="20"/>
        </w:rPr>
        <w:t>Evaluation</w:t>
      </w:r>
    </w:p>
    <w:p w14:paraId="370B91A9" w14:textId="77777777" w:rsidR="004C6797" w:rsidRPr="003C626F" w:rsidRDefault="004C6797" w:rsidP="004C6797">
      <w:pPr>
        <w:pStyle w:val="BodyText"/>
        <w:ind w:left="1646" w:right="133"/>
        <w:jc w:val="both"/>
        <w:rPr>
          <w:rFonts w:ascii="Times New Roman" w:hAnsi="Times New Roman" w:cs="Times New Roman"/>
          <w:sz w:val="20"/>
          <w:szCs w:val="20"/>
        </w:rPr>
      </w:pPr>
      <w:r w:rsidRPr="003C626F">
        <w:rPr>
          <w:rFonts w:ascii="Times New Roman" w:hAnsi="Times New Roman" w:cs="Times New Roman"/>
          <w:sz w:val="20"/>
          <w:szCs w:val="20"/>
        </w:rPr>
        <w:t>The final stage in the public policy process is evaluation, which aims to assess the outcomes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policies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have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been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implemented.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At</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this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stage,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assessment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 xml:space="preserve">will also be made to determine whether a policy should continue, be revised, or be terminated. </w:t>
      </w:r>
      <w:r w:rsidRPr="003C626F">
        <w:rPr>
          <w:rFonts w:ascii="Times New Roman" w:hAnsi="Times New Roman" w:cs="Times New Roman"/>
          <w:b/>
          <w:sz w:val="20"/>
          <w:szCs w:val="20"/>
        </w:rPr>
        <w:t xml:space="preserve">Dunn (1981) </w:t>
      </w:r>
      <w:r w:rsidRPr="003C626F">
        <w:rPr>
          <w:rFonts w:ascii="Times New Roman" w:hAnsi="Times New Roman" w:cs="Times New Roman"/>
          <w:sz w:val="20"/>
          <w:szCs w:val="20"/>
        </w:rPr>
        <w:t>explains that the evaluation process provides accountable information related to policy performance, in terms of how well the needs, values, or opportunities have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been achieved through a public policy. The evaluation criteria can be divided into several, including; effectiveness, efficiency, sufficiency, equity, and responsiveness </w:t>
      </w:r>
      <w:r w:rsidRPr="003C626F">
        <w:rPr>
          <w:rFonts w:ascii="Times New Roman" w:hAnsi="Times New Roman" w:cs="Times New Roman"/>
          <w:b/>
          <w:sz w:val="20"/>
          <w:szCs w:val="20"/>
        </w:rPr>
        <w:t xml:space="preserve">(Dunn, 1981). </w:t>
      </w:r>
      <w:r w:rsidRPr="003C626F">
        <w:rPr>
          <w:rFonts w:ascii="Times New Roman" w:hAnsi="Times New Roman" w:cs="Times New Roman"/>
          <w:sz w:val="20"/>
          <w:szCs w:val="20"/>
        </w:rPr>
        <w:t>In this stage, AI plays a significant role in creating an environment where real-time policy monitoring is available, which will undoubtedly provide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 xml:space="preserve">better insights into the policy process, assess timely and accurate data related to policy interventions, and make it easier to swiftly adjust policies if necessary </w:t>
      </w:r>
      <w:r w:rsidRPr="003C626F">
        <w:rPr>
          <w:rFonts w:ascii="Times New Roman" w:hAnsi="Times New Roman" w:cs="Times New Roman"/>
          <w:b/>
          <w:sz w:val="20"/>
          <w:szCs w:val="20"/>
        </w:rPr>
        <w:t xml:space="preserve">(OECD, 2019). </w:t>
      </w:r>
      <w:r w:rsidRPr="003C626F">
        <w:rPr>
          <w:rFonts w:ascii="Times New Roman" w:hAnsi="Times New Roman" w:cs="Times New Roman"/>
          <w:sz w:val="20"/>
          <w:szCs w:val="20"/>
        </w:rPr>
        <w:t xml:space="preserve">Furthermore, AI can also be used to analyze public sentiment, as in the agenda-setting process discussed earlier, supported by findings from </w:t>
      </w:r>
      <w:proofErr w:type="spellStart"/>
      <w:r w:rsidRPr="003C626F">
        <w:rPr>
          <w:rFonts w:ascii="Times New Roman" w:hAnsi="Times New Roman" w:cs="Times New Roman"/>
          <w:b/>
          <w:sz w:val="20"/>
          <w:szCs w:val="20"/>
        </w:rPr>
        <w:t>Sukhwal</w:t>
      </w:r>
      <w:proofErr w:type="spellEnd"/>
      <w:r w:rsidRPr="003C626F">
        <w:rPr>
          <w:rFonts w:ascii="Times New Roman" w:hAnsi="Times New Roman" w:cs="Times New Roman"/>
          <w:b/>
          <w:sz w:val="20"/>
          <w:szCs w:val="20"/>
        </w:rPr>
        <w:t xml:space="preserve"> et al. (2022), Boon </w:t>
      </w:r>
      <w:proofErr w:type="spellStart"/>
      <w:r w:rsidRPr="003C626F">
        <w:rPr>
          <w:rFonts w:ascii="Times New Roman" w:hAnsi="Times New Roman" w:cs="Times New Roman"/>
          <w:b/>
          <w:sz w:val="20"/>
          <w:szCs w:val="20"/>
        </w:rPr>
        <w:t>Itt</w:t>
      </w:r>
      <w:proofErr w:type="spellEnd"/>
      <w:r w:rsidRPr="003C626F">
        <w:rPr>
          <w:rFonts w:ascii="Times New Roman" w:hAnsi="Times New Roman" w:cs="Times New Roman"/>
          <w:b/>
          <w:sz w:val="20"/>
          <w:szCs w:val="20"/>
        </w:rPr>
        <w:t xml:space="preserve"> (2020), </w:t>
      </w:r>
      <w:r w:rsidRPr="003C626F">
        <w:rPr>
          <w:rFonts w:ascii="Times New Roman" w:hAnsi="Times New Roman" w:cs="Times New Roman"/>
          <w:sz w:val="20"/>
          <w:szCs w:val="20"/>
        </w:rPr>
        <w:t xml:space="preserve">and </w:t>
      </w:r>
      <w:r w:rsidRPr="003C626F">
        <w:rPr>
          <w:rFonts w:ascii="Times New Roman" w:hAnsi="Times New Roman" w:cs="Times New Roman"/>
          <w:b/>
          <w:sz w:val="20"/>
          <w:szCs w:val="20"/>
        </w:rPr>
        <w:t xml:space="preserve">Du et al. (2017). </w:t>
      </w:r>
      <w:r w:rsidRPr="003C626F">
        <w:rPr>
          <w:rFonts w:ascii="Times New Roman" w:hAnsi="Times New Roman" w:cs="Times New Roman"/>
          <w:sz w:val="20"/>
          <w:szCs w:val="20"/>
        </w:rPr>
        <w:t>This sentiment analysis helps policymakers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understand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perspectives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regarding</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implementation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use that input for evaluation.</w:t>
      </w:r>
    </w:p>
    <w:p w14:paraId="51DFE1E0" w14:textId="77777777" w:rsidR="004C6797" w:rsidRPr="003C626F" w:rsidRDefault="004C6797" w:rsidP="004C6797">
      <w:pPr>
        <w:pStyle w:val="BodyText"/>
        <w:jc w:val="both"/>
        <w:rPr>
          <w:rFonts w:ascii="Times New Roman" w:hAnsi="Times New Roman" w:cs="Times New Roman"/>
          <w:sz w:val="20"/>
          <w:szCs w:val="20"/>
        </w:rPr>
      </w:pPr>
    </w:p>
    <w:p w14:paraId="14E93448" w14:textId="77777777" w:rsidR="004C6797" w:rsidRPr="00CB77A7" w:rsidRDefault="004C6797" w:rsidP="004C6797">
      <w:pPr>
        <w:ind w:left="1276"/>
        <w:rPr>
          <w:rFonts w:ascii="Times New Roman" w:hAnsi="Times New Roman" w:cs="Times New Roman"/>
          <w:b/>
          <w:bCs/>
          <w:sz w:val="20"/>
          <w:szCs w:val="20"/>
        </w:rPr>
      </w:pPr>
      <w:r w:rsidRPr="00CB77A7">
        <w:rPr>
          <w:rFonts w:ascii="Times New Roman" w:hAnsi="Times New Roman" w:cs="Times New Roman"/>
          <w:b/>
          <w:bCs/>
          <w:sz w:val="20"/>
          <w:szCs w:val="20"/>
        </w:rPr>
        <w:t>How</w:t>
      </w:r>
      <w:r w:rsidRPr="00CB77A7">
        <w:rPr>
          <w:rFonts w:ascii="Times New Roman" w:hAnsi="Times New Roman" w:cs="Times New Roman"/>
          <w:b/>
          <w:bCs/>
          <w:spacing w:val="-9"/>
          <w:sz w:val="20"/>
          <w:szCs w:val="20"/>
        </w:rPr>
        <w:t xml:space="preserve"> </w:t>
      </w:r>
      <w:r w:rsidRPr="00CB77A7">
        <w:rPr>
          <w:rFonts w:ascii="Times New Roman" w:hAnsi="Times New Roman" w:cs="Times New Roman"/>
          <w:b/>
          <w:bCs/>
          <w:sz w:val="20"/>
          <w:szCs w:val="20"/>
        </w:rPr>
        <w:t>AI</w:t>
      </w:r>
      <w:r w:rsidRPr="00CB77A7">
        <w:rPr>
          <w:rFonts w:ascii="Times New Roman" w:hAnsi="Times New Roman" w:cs="Times New Roman"/>
          <w:b/>
          <w:bCs/>
          <w:spacing w:val="-10"/>
          <w:sz w:val="20"/>
          <w:szCs w:val="20"/>
        </w:rPr>
        <w:t xml:space="preserve"> </w:t>
      </w:r>
      <w:r w:rsidRPr="00CB77A7">
        <w:rPr>
          <w:rFonts w:ascii="Times New Roman" w:hAnsi="Times New Roman" w:cs="Times New Roman"/>
          <w:b/>
          <w:bCs/>
          <w:sz w:val="20"/>
          <w:szCs w:val="20"/>
        </w:rPr>
        <w:t>Can</w:t>
      </w:r>
      <w:r w:rsidRPr="00CB77A7">
        <w:rPr>
          <w:rFonts w:ascii="Times New Roman" w:hAnsi="Times New Roman" w:cs="Times New Roman"/>
          <w:b/>
          <w:bCs/>
          <w:spacing w:val="-9"/>
          <w:sz w:val="20"/>
          <w:szCs w:val="20"/>
        </w:rPr>
        <w:t xml:space="preserve"> </w:t>
      </w:r>
      <w:r w:rsidRPr="00CB77A7">
        <w:rPr>
          <w:rFonts w:ascii="Times New Roman" w:hAnsi="Times New Roman" w:cs="Times New Roman"/>
          <w:b/>
          <w:bCs/>
          <w:sz w:val="20"/>
          <w:szCs w:val="20"/>
        </w:rPr>
        <w:t>Be</w:t>
      </w:r>
      <w:r w:rsidRPr="00CB77A7">
        <w:rPr>
          <w:rFonts w:ascii="Times New Roman" w:hAnsi="Times New Roman" w:cs="Times New Roman"/>
          <w:b/>
          <w:bCs/>
          <w:spacing w:val="-9"/>
          <w:sz w:val="20"/>
          <w:szCs w:val="20"/>
        </w:rPr>
        <w:t xml:space="preserve"> </w:t>
      </w:r>
      <w:r w:rsidRPr="00CB77A7">
        <w:rPr>
          <w:rFonts w:ascii="Times New Roman" w:hAnsi="Times New Roman" w:cs="Times New Roman"/>
          <w:b/>
          <w:bCs/>
          <w:sz w:val="20"/>
          <w:szCs w:val="20"/>
        </w:rPr>
        <w:t>Integrated</w:t>
      </w:r>
      <w:r w:rsidRPr="00CB77A7">
        <w:rPr>
          <w:rFonts w:ascii="Times New Roman" w:hAnsi="Times New Roman" w:cs="Times New Roman"/>
          <w:b/>
          <w:bCs/>
          <w:spacing w:val="-8"/>
          <w:sz w:val="20"/>
          <w:szCs w:val="20"/>
        </w:rPr>
        <w:t xml:space="preserve"> </w:t>
      </w:r>
      <w:r w:rsidRPr="00CB77A7">
        <w:rPr>
          <w:rFonts w:ascii="Times New Roman" w:hAnsi="Times New Roman" w:cs="Times New Roman"/>
          <w:b/>
          <w:bCs/>
          <w:sz w:val="20"/>
          <w:szCs w:val="20"/>
        </w:rPr>
        <w:t>with</w:t>
      </w:r>
      <w:r w:rsidRPr="00CB77A7">
        <w:rPr>
          <w:rFonts w:ascii="Times New Roman" w:hAnsi="Times New Roman" w:cs="Times New Roman"/>
          <w:b/>
          <w:bCs/>
          <w:spacing w:val="-9"/>
          <w:sz w:val="20"/>
          <w:szCs w:val="20"/>
        </w:rPr>
        <w:t xml:space="preserve"> </w:t>
      </w:r>
      <w:r w:rsidRPr="00CB77A7">
        <w:rPr>
          <w:rFonts w:ascii="Times New Roman" w:hAnsi="Times New Roman" w:cs="Times New Roman"/>
          <w:b/>
          <w:bCs/>
          <w:sz w:val="20"/>
          <w:szCs w:val="20"/>
        </w:rPr>
        <w:t>William</w:t>
      </w:r>
      <w:r w:rsidRPr="00CB77A7">
        <w:rPr>
          <w:rFonts w:ascii="Times New Roman" w:hAnsi="Times New Roman" w:cs="Times New Roman"/>
          <w:b/>
          <w:bCs/>
          <w:spacing w:val="-5"/>
          <w:sz w:val="20"/>
          <w:szCs w:val="20"/>
        </w:rPr>
        <w:t xml:space="preserve"> </w:t>
      </w:r>
      <w:r w:rsidRPr="00CB77A7">
        <w:rPr>
          <w:rFonts w:ascii="Times New Roman" w:hAnsi="Times New Roman" w:cs="Times New Roman"/>
          <w:b/>
          <w:bCs/>
          <w:sz w:val="20"/>
          <w:szCs w:val="20"/>
        </w:rPr>
        <w:t>Dunn's</w:t>
      </w:r>
      <w:r w:rsidRPr="00CB77A7">
        <w:rPr>
          <w:rFonts w:ascii="Times New Roman" w:hAnsi="Times New Roman" w:cs="Times New Roman"/>
          <w:b/>
          <w:bCs/>
          <w:spacing w:val="-11"/>
          <w:sz w:val="20"/>
          <w:szCs w:val="20"/>
        </w:rPr>
        <w:t xml:space="preserve"> </w:t>
      </w:r>
      <w:r w:rsidRPr="00CB77A7">
        <w:rPr>
          <w:rFonts w:ascii="Times New Roman" w:hAnsi="Times New Roman" w:cs="Times New Roman"/>
          <w:b/>
          <w:bCs/>
          <w:sz w:val="20"/>
          <w:szCs w:val="20"/>
        </w:rPr>
        <w:t>Policy</w:t>
      </w:r>
      <w:r w:rsidRPr="00CB77A7">
        <w:rPr>
          <w:rFonts w:ascii="Times New Roman" w:hAnsi="Times New Roman" w:cs="Times New Roman"/>
          <w:b/>
          <w:bCs/>
          <w:spacing w:val="-3"/>
          <w:sz w:val="20"/>
          <w:szCs w:val="20"/>
        </w:rPr>
        <w:t xml:space="preserve"> </w:t>
      </w:r>
      <w:r w:rsidRPr="00CB77A7">
        <w:rPr>
          <w:rFonts w:ascii="Times New Roman" w:hAnsi="Times New Roman" w:cs="Times New Roman"/>
          <w:b/>
          <w:bCs/>
          <w:sz w:val="20"/>
          <w:szCs w:val="20"/>
        </w:rPr>
        <w:t>Cycle</w:t>
      </w:r>
      <w:r w:rsidRPr="00CB77A7">
        <w:rPr>
          <w:rFonts w:ascii="Times New Roman" w:hAnsi="Times New Roman" w:cs="Times New Roman"/>
          <w:b/>
          <w:bCs/>
          <w:spacing w:val="-8"/>
          <w:sz w:val="20"/>
          <w:szCs w:val="20"/>
        </w:rPr>
        <w:t xml:space="preserve"> </w:t>
      </w:r>
      <w:r w:rsidRPr="00CB77A7">
        <w:rPr>
          <w:rFonts w:ascii="Times New Roman" w:hAnsi="Times New Roman" w:cs="Times New Roman"/>
          <w:b/>
          <w:bCs/>
          <w:spacing w:val="-2"/>
          <w:sz w:val="20"/>
          <w:szCs w:val="20"/>
        </w:rPr>
        <w:t>Theory</w:t>
      </w:r>
    </w:p>
    <w:p w14:paraId="518762D5" w14:textId="77777777" w:rsidR="004C6797" w:rsidRPr="003C626F" w:rsidRDefault="004C6797" w:rsidP="004C6797">
      <w:pPr>
        <w:pStyle w:val="BodyText"/>
        <w:jc w:val="both"/>
        <w:rPr>
          <w:rFonts w:ascii="Times New Roman" w:hAnsi="Times New Roman" w:cs="Times New Roman"/>
          <w:b/>
          <w:sz w:val="20"/>
          <w:szCs w:val="20"/>
        </w:rPr>
      </w:pPr>
    </w:p>
    <w:p w14:paraId="51E75374" w14:textId="77777777" w:rsidR="004C6797" w:rsidRPr="003C626F" w:rsidRDefault="004C6797" w:rsidP="004C6797">
      <w:pPr>
        <w:pStyle w:val="BodyText"/>
        <w:ind w:left="1288" w:right="132" w:firstLine="720"/>
        <w:jc w:val="both"/>
        <w:rPr>
          <w:rFonts w:ascii="Times New Roman" w:hAnsi="Times New Roman" w:cs="Times New Roman"/>
          <w:sz w:val="20"/>
          <w:szCs w:val="20"/>
        </w:rPr>
      </w:pPr>
      <w:r w:rsidRPr="003C626F">
        <w:rPr>
          <w:rFonts w:ascii="Times New Roman" w:hAnsi="Times New Roman" w:cs="Times New Roman"/>
          <w:sz w:val="20"/>
          <w:szCs w:val="20"/>
        </w:rPr>
        <w:t xml:space="preserve">As mentioned earlier in the introduction of this paper, one of the key criteria in </w:t>
      </w:r>
      <w:r w:rsidRPr="003C626F">
        <w:rPr>
          <w:rFonts w:ascii="Times New Roman" w:hAnsi="Times New Roman" w:cs="Times New Roman"/>
          <w:b/>
          <w:sz w:val="20"/>
          <w:szCs w:val="20"/>
        </w:rPr>
        <w:t xml:space="preserve">William Dunn's (2017) </w:t>
      </w:r>
      <w:r w:rsidRPr="003C626F">
        <w:rPr>
          <w:rFonts w:ascii="Times New Roman" w:hAnsi="Times New Roman" w:cs="Times New Roman"/>
          <w:sz w:val="20"/>
          <w:szCs w:val="20"/>
        </w:rPr>
        <w:t>theory of the public policy cycle is its iterative and non-linear nature, which means that each stage of the public policy process, from agenda-setting to evaluation,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does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not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proceed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linear</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fashion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continuously</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interacts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with</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one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 xml:space="preserve">another. AI can play a crucial role in enhancing the application of this cycle with the features it </w:t>
      </w:r>
      <w:r w:rsidRPr="003C626F">
        <w:rPr>
          <w:rFonts w:ascii="Times New Roman" w:hAnsi="Times New Roman" w:cs="Times New Roman"/>
          <w:spacing w:val="-2"/>
          <w:sz w:val="20"/>
          <w:szCs w:val="20"/>
        </w:rPr>
        <w:t>offers.</w:t>
      </w:r>
    </w:p>
    <w:p w14:paraId="32796D52" w14:textId="77777777" w:rsidR="004C6797" w:rsidRPr="003C626F" w:rsidRDefault="004C6797" w:rsidP="004C6797">
      <w:pPr>
        <w:pStyle w:val="BodyText"/>
        <w:jc w:val="both"/>
        <w:rPr>
          <w:rFonts w:ascii="Times New Roman" w:hAnsi="Times New Roman" w:cs="Times New Roman"/>
          <w:sz w:val="20"/>
          <w:szCs w:val="20"/>
        </w:rPr>
      </w:pPr>
    </w:p>
    <w:p w14:paraId="7763B701" w14:textId="77777777" w:rsidR="004C6797" w:rsidRPr="003C626F" w:rsidRDefault="004C6797" w:rsidP="004C6797">
      <w:pPr>
        <w:pStyle w:val="BodyText"/>
        <w:ind w:left="1288" w:right="129" w:firstLine="720"/>
        <w:jc w:val="both"/>
        <w:rPr>
          <w:rFonts w:ascii="Times New Roman" w:hAnsi="Times New Roman" w:cs="Times New Roman"/>
          <w:sz w:val="20"/>
          <w:szCs w:val="20"/>
        </w:rPr>
      </w:pPr>
      <w:r w:rsidRPr="003C626F">
        <w:rPr>
          <w:rFonts w:ascii="Times New Roman" w:hAnsi="Times New Roman" w:cs="Times New Roman"/>
          <w:sz w:val="20"/>
          <w:szCs w:val="20"/>
        </w:rPr>
        <w:t>One such feature enabled by artificial intelligence is real-time data analysis. By harnessing the potential of machine learning algorithms, AI-based data analysis enables institutions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quickly</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extract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valuable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information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available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datasets</w:t>
      </w:r>
      <w:r w:rsidRPr="003C626F">
        <w:rPr>
          <w:rFonts w:ascii="Times New Roman" w:hAnsi="Times New Roman" w:cs="Times New Roman"/>
          <w:spacing w:val="-12"/>
          <w:sz w:val="20"/>
          <w:szCs w:val="20"/>
        </w:rPr>
        <w:t xml:space="preserve"> </w:t>
      </w:r>
      <w:r w:rsidRPr="003C626F">
        <w:rPr>
          <w:rFonts w:ascii="Times New Roman" w:hAnsi="Times New Roman" w:cs="Times New Roman"/>
          <w:b/>
          <w:sz w:val="20"/>
          <w:szCs w:val="20"/>
        </w:rPr>
        <w:t>(</w:t>
      </w:r>
      <w:proofErr w:type="spellStart"/>
      <w:r w:rsidRPr="003C626F">
        <w:rPr>
          <w:rFonts w:ascii="Times New Roman" w:hAnsi="Times New Roman" w:cs="Times New Roman"/>
          <w:b/>
          <w:sz w:val="20"/>
          <w:szCs w:val="20"/>
        </w:rPr>
        <w:t>Althati</w:t>
      </w:r>
      <w:proofErr w:type="spellEnd"/>
      <w:r w:rsidRPr="003C626F">
        <w:rPr>
          <w:rFonts w:ascii="Times New Roman" w:hAnsi="Times New Roman" w:cs="Times New Roman"/>
          <w:b/>
          <w:sz w:val="20"/>
          <w:szCs w:val="20"/>
        </w:rPr>
        <w:t>,</w:t>
      </w:r>
      <w:r w:rsidRPr="003C626F">
        <w:rPr>
          <w:rFonts w:ascii="Times New Roman" w:hAnsi="Times New Roman" w:cs="Times New Roman"/>
          <w:b/>
          <w:spacing w:val="-3"/>
          <w:sz w:val="20"/>
          <w:szCs w:val="20"/>
        </w:rPr>
        <w:t xml:space="preserve"> </w:t>
      </w:r>
      <w:r w:rsidRPr="003C626F">
        <w:rPr>
          <w:rFonts w:ascii="Times New Roman" w:hAnsi="Times New Roman" w:cs="Times New Roman"/>
          <w:b/>
          <w:sz w:val="20"/>
          <w:szCs w:val="20"/>
        </w:rPr>
        <w:t>2024)</w:t>
      </w:r>
      <w:r w:rsidRPr="003C626F">
        <w:rPr>
          <w:rFonts w:ascii="Times New Roman" w:hAnsi="Times New Roman" w:cs="Times New Roman"/>
          <w:sz w:val="20"/>
          <w:szCs w:val="20"/>
        </w:rPr>
        <w:t>. Furthermore,</w:t>
      </w:r>
      <w:r w:rsidRPr="003C626F">
        <w:rPr>
          <w:rFonts w:ascii="Times New Roman" w:hAnsi="Times New Roman" w:cs="Times New Roman"/>
          <w:spacing w:val="-5"/>
          <w:sz w:val="20"/>
          <w:szCs w:val="20"/>
        </w:rPr>
        <w:t xml:space="preserve"> </w:t>
      </w:r>
      <w:r w:rsidRPr="003C626F">
        <w:rPr>
          <w:rFonts w:ascii="Times New Roman" w:hAnsi="Times New Roman" w:cs="Times New Roman"/>
          <w:b/>
          <w:sz w:val="20"/>
          <w:szCs w:val="20"/>
        </w:rPr>
        <w:t>Milosevic</w:t>
      </w:r>
      <w:r w:rsidRPr="003C626F">
        <w:rPr>
          <w:rFonts w:ascii="Times New Roman" w:hAnsi="Times New Roman" w:cs="Times New Roman"/>
          <w:b/>
          <w:spacing w:val="-5"/>
          <w:sz w:val="20"/>
          <w:szCs w:val="20"/>
        </w:rPr>
        <w:t xml:space="preserve"> </w:t>
      </w:r>
      <w:r w:rsidRPr="003C626F">
        <w:rPr>
          <w:rFonts w:ascii="Times New Roman" w:hAnsi="Times New Roman" w:cs="Times New Roman"/>
          <w:b/>
          <w:sz w:val="20"/>
          <w:szCs w:val="20"/>
        </w:rPr>
        <w:t>(2016)</w:t>
      </w:r>
      <w:r w:rsidRPr="003C626F">
        <w:rPr>
          <w:rFonts w:ascii="Times New Roman" w:hAnsi="Times New Roman" w:cs="Times New Roman"/>
          <w:b/>
          <w:spacing w:val="-4"/>
          <w:sz w:val="20"/>
          <w:szCs w:val="20"/>
        </w:rPr>
        <w:t xml:space="preserve"> </w:t>
      </w:r>
      <w:r w:rsidRPr="003C626F">
        <w:rPr>
          <w:rFonts w:ascii="Times New Roman" w:hAnsi="Times New Roman" w:cs="Times New Roman"/>
          <w:sz w:val="20"/>
          <w:szCs w:val="20"/>
        </w:rPr>
        <w:t>explains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analytics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akin</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big</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data</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analysis, where data elements that have been collected are processed and analyzed as they are entered,</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This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analysis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allows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organization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or</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institution</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respond</w:t>
      </w:r>
    </w:p>
    <w:p w14:paraId="4770A7DC" w14:textId="77777777" w:rsidR="004C6797" w:rsidRPr="003C626F" w:rsidRDefault="004C6797" w:rsidP="004C6797">
      <w:pPr>
        <w:pStyle w:val="BodyText"/>
        <w:jc w:val="both"/>
        <w:rPr>
          <w:rFonts w:ascii="Times New Roman" w:hAnsi="Times New Roman" w:cs="Times New Roman"/>
          <w:sz w:val="20"/>
          <w:szCs w:val="20"/>
        </w:rPr>
        <w:sectPr w:rsidR="004C6797" w:rsidRPr="003C626F" w:rsidSect="004C6797">
          <w:pgSz w:w="11920" w:h="16850"/>
          <w:pgMar w:top="1580" w:right="1559" w:bottom="280" w:left="1700" w:header="715" w:footer="0" w:gutter="0"/>
          <w:cols w:space="720"/>
        </w:sectPr>
      </w:pPr>
    </w:p>
    <w:p w14:paraId="47E47E8F" w14:textId="77777777" w:rsidR="004C6797" w:rsidRPr="003C626F" w:rsidRDefault="004C6797" w:rsidP="004C6797">
      <w:pPr>
        <w:pStyle w:val="BodyText"/>
        <w:ind w:left="1288" w:right="134"/>
        <w:jc w:val="both"/>
        <w:rPr>
          <w:rFonts w:ascii="Times New Roman" w:hAnsi="Times New Roman" w:cs="Times New Roman"/>
          <w:sz w:val="20"/>
          <w:szCs w:val="20"/>
        </w:rPr>
      </w:pPr>
      <w:r w:rsidRPr="003C626F">
        <w:rPr>
          <w:rFonts w:ascii="Times New Roman" w:hAnsi="Times New Roman" w:cs="Times New Roman"/>
          <w:sz w:val="20"/>
          <w:szCs w:val="20"/>
        </w:rPr>
        <w:t>instantly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changes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market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conditions,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consumer</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behavior,</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or</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operational</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2"/>
          <w:sz w:val="20"/>
          <w:szCs w:val="20"/>
        </w:rPr>
        <w:t xml:space="preserve"> </w:t>
      </w:r>
      <w:r w:rsidRPr="003C626F">
        <w:rPr>
          <w:rFonts w:ascii="Times New Roman" w:hAnsi="Times New Roman" w:cs="Times New Roman"/>
          <w:b/>
          <w:sz w:val="20"/>
          <w:szCs w:val="20"/>
        </w:rPr>
        <w:t xml:space="preserve">(Chia, 2023). </w:t>
      </w:r>
      <w:r w:rsidRPr="003C626F">
        <w:rPr>
          <w:rFonts w:ascii="Times New Roman" w:hAnsi="Times New Roman" w:cs="Times New Roman"/>
          <w:sz w:val="20"/>
          <w:szCs w:val="20"/>
        </w:rPr>
        <w:t>The combination of AI utilization and real-time data is particularly ideal. When significant changes occur in the public policy process, whether due to operational errors, changes in priorities, or new input from the public, AI can analyze data simultaneously based on real-time information gathered, whether through social media or online reviews. This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analyzed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feedback</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then serve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foundation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for</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policymakers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decide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next steps: whether a policy needs to be revised at a particular stage, continued, or completely discontinued. Ultimately, the presence of AI, through its real-time data analysis capabilities, will create a more adaptive and responsive public policy process.</w:t>
      </w:r>
    </w:p>
    <w:p w14:paraId="23D81369" w14:textId="77777777" w:rsidR="004C6797" w:rsidRPr="003C626F" w:rsidRDefault="004C6797" w:rsidP="004C6797">
      <w:pPr>
        <w:pStyle w:val="BodyText"/>
        <w:jc w:val="both"/>
        <w:rPr>
          <w:rFonts w:ascii="Times New Roman" w:hAnsi="Times New Roman" w:cs="Times New Roman"/>
          <w:sz w:val="20"/>
          <w:szCs w:val="20"/>
        </w:rPr>
      </w:pPr>
    </w:p>
    <w:p w14:paraId="336D665B" w14:textId="77777777" w:rsidR="004C6797" w:rsidRPr="00CB77A7" w:rsidRDefault="004C6797" w:rsidP="004C6797">
      <w:pPr>
        <w:ind w:left="1276"/>
        <w:rPr>
          <w:rFonts w:ascii="Times New Roman" w:hAnsi="Times New Roman" w:cs="Times New Roman"/>
          <w:b/>
          <w:bCs/>
          <w:sz w:val="20"/>
          <w:szCs w:val="20"/>
        </w:rPr>
      </w:pPr>
      <w:r w:rsidRPr="00CB77A7">
        <w:rPr>
          <w:rFonts w:ascii="Times New Roman" w:hAnsi="Times New Roman" w:cs="Times New Roman"/>
          <w:b/>
          <w:bCs/>
          <w:sz w:val="20"/>
          <w:szCs w:val="20"/>
        </w:rPr>
        <w:t>AI</w:t>
      </w:r>
      <w:r w:rsidRPr="00CB77A7">
        <w:rPr>
          <w:rFonts w:ascii="Times New Roman" w:hAnsi="Times New Roman" w:cs="Times New Roman"/>
          <w:b/>
          <w:bCs/>
          <w:spacing w:val="-10"/>
          <w:sz w:val="20"/>
          <w:szCs w:val="20"/>
        </w:rPr>
        <w:t xml:space="preserve"> </w:t>
      </w:r>
      <w:r w:rsidRPr="00CB77A7">
        <w:rPr>
          <w:rFonts w:ascii="Times New Roman" w:hAnsi="Times New Roman" w:cs="Times New Roman"/>
          <w:b/>
          <w:bCs/>
          <w:sz w:val="20"/>
          <w:szCs w:val="20"/>
        </w:rPr>
        <w:t>in</w:t>
      </w:r>
      <w:r w:rsidRPr="00CB77A7">
        <w:rPr>
          <w:rFonts w:ascii="Times New Roman" w:hAnsi="Times New Roman" w:cs="Times New Roman"/>
          <w:b/>
          <w:bCs/>
          <w:spacing w:val="-6"/>
          <w:sz w:val="20"/>
          <w:szCs w:val="20"/>
        </w:rPr>
        <w:t xml:space="preserve"> </w:t>
      </w:r>
      <w:r w:rsidRPr="00CB77A7">
        <w:rPr>
          <w:rFonts w:ascii="Times New Roman" w:hAnsi="Times New Roman" w:cs="Times New Roman"/>
          <w:b/>
          <w:bCs/>
          <w:sz w:val="20"/>
          <w:szCs w:val="20"/>
        </w:rPr>
        <w:t>Public</w:t>
      </w:r>
      <w:r w:rsidRPr="00CB77A7">
        <w:rPr>
          <w:rFonts w:ascii="Times New Roman" w:hAnsi="Times New Roman" w:cs="Times New Roman"/>
          <w:b/>
          <w:bCs/>
          <w:spacing w:val="-6"/>
          <w:sz w:val="20"/>
          <w:szCs w:val="20"/>
        </w:rPr>
        <w:t xml:space="preserve"> </w:t>
      </w:r>
      <w:r w:rsidRPr="00CB77A7">
        <w:rPr>
          <w:rFonts w:ascii="Times New Roman" w:hAnsi="Times New Roman" w:cs="Times New Roman"/>
          <w:b/>
          <w:bCs/>
          <w:sz w:val="20"/>
          <w:szCs w:val="20"/>
        </w:rPr>
        <w:t>Sector</w:t>
      </w:r>
      <w:r w:rsidRPr="00CB77A7">
        <w:rPr>
          <w:rFonts w:ascii="Times New Roman" w:hAnsi="Times New Roman" w:cs="Times New Roman"/>
          <w:b/>
          <w:bCs/>
          <w:spacing w:val="-5"/>
          <w:sz w:val="20"/>
          <w:szCs w:val="20"/>
        </w:rPr>
        <w:t xml:space="preserve"> </w:t>
      </w:r>
      <w:r w:rsidRPr="00CB77A7">
        <w:rPr>
          <w:rFonts w:ascii="Times New Roman" w:hAnsi="Times New Roman" w:cs="Times New Roman"/>
          <w:b/>
          <w:bCs/>
          <w:sz w:val="20"/>
          <w:szCs w:val="20"/>
        </w:rPr>
        <w:t>and</w:t>
      </w:r>
      <w:r w:rsidRPr="00CB77A7">
        <w:rPr>
          <w:rFonts w:ascii="Times New Roman" w:hAnsi="Times New Roman" w:cs="Times New Roman"/>
          <w:b/>
          <w:bCs/>
          <w:spacing w:val="-9"/>
          <w:sz w:val="20"/>
          <w:szCs w:val="20"/>
        </w:rPr>
        <w:t xml:space="preserve"> </w:t>
      </w:r>
      <w:r w:rsidRPr="00CB77A7">
        <w:rPr>
          <w:rFonts w:ascii="Times New Roman" w:hAnsi="Times New Roman" w:cs="Times New Roman"/>
          <w:b/>
          <w:bCs/>
          <w:sz w:val="20"/>
          <w:szCs w:val="20"/>
        </w:rPr>
        <w:t>Ethical</w:t>
      </w:r>
      <w:r w:rsidRPr="00CB77A7">
        <w:rPr>
          <w:rFonts w:ascii="Times New Roman" w:hAnsi="Times New Roman" w:cs="Times New Roman"/>
          <w:b/>
          <w:bCs/>
          <w:spacing w:val="-8"/>
          <w:sz w:val="20"/>
          <w:szCs w:val="20"/>
        </w:rPr>
        <w:t xml:space="preserve"> </w:t>
      </w:r>
      <w:r w:rsidRPr="00CB77A7">
        <w:rPr>
          <w:rFonts w:ascii="Times New Roman" w:hAnsi="Times New Roman" w:cs="Times New Roman"/>
          <w:b/>
          <w:bCs/>
          <w:spacing w:val="-2"/>
          <w:sz w:val="20"/>
          <w:szCs w:val="20"/>
        </w:rPr>
        <w:t>Challenges</w:t>
      </w:r>
    </w:p>
    <w:p w14:paraId="06FC8847" w14:textId="77777777" w:rsidR="004C6797" w:rsidRPr="003C626F" w:rsidRDefault="004C6797" w:rsidP="004C6797">
      <w:pPr>
        <w:pStyle w:val="BodyText"/>
        <w:ind w:left="1288" w:right="133" w:firstLine="720"/>
        <w:jc w:val="both"/>
        <w:rPr>
          <w:rFonts w:ascii="Times New Roman" w:hAnsi="Times New Roman" w:cs="Times New Roman"/>
          <w:b/>
          <w:sz w:val="20"/>
          <w:szCs w:val="20"/>
        </w:rPr>
      </w:pPr>
      <w:r w:rsidRPr="003C626F">
        <w:rPr>
          <w:rFonts w:ascii="Times New Roman" w:hAnsi="Times New Roman" w:cs="Times New Roman"/>
          <w:sz w:val="20"/>
          <w:szCs w:val="20"/>
        </w:rPr>
        <w:t xml:space="preserve">One of the most fundamental issues in the discussion about the challenges posed by AI implementation in various sectors, including public policy, is related to AI ethics. </w:t>
      </w:r>
      <w:r w:rsidRPr="003C626F">
        <w:rPr>
          <w:rFonts w:ascii="Times New Roman" w:hAnsi="Times New Roman" w:cs="Times New Roman"/>
          <w:b/>
          <w:sz w:val="20"/>
          <w:szCs w:val="20"/>
        </w:rPr>
        <w:t xml:space="preserve">Wirtz (2018) </w:t>
      </w:r>
      <w:r w:rsidRPr="003C626F">
        <w:rPr>
          <w:rFonts w:ascii="Times New Roman" w:hAnsi="Times New Roman" w:cs="Times New Roman"/>
          <w:sz w:val="20"/>
          <w:szCs w:val="20"/>
        </w:rPr>
        <w:t>highlights that a major aspect of this ethical concept concerns the ethics of robots or machines. On one hand, this relates to considerations about whether the development and use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of specific AI, along with its consequences, can be justified morally and ethically </w:t>
      </w:r>
      <w:r w:rsidRPr="003C626F">
        <w:rPr>
          <w:rFonts w:ascii="Times New Roman" w:hAnsi="Times New Roman" w:cs="Times New Roman"/>
          <w:b/>
          <w:sz w:val="20"/>
          <w:szCs w:val="20"/>
        </w:rPr>
        <w:t>(Patrick et al., 2012)</w:t>
      </w:r>
      <w:r w:rsidRPr="003C626F">
        <w:rPr>
          <w:rFonts w:ascii="Times New Roman" w:hAnsi="Times New Roman" w:cs="Times New Roman"/>
          <w:sz w:val="20"/>
          <w:szCs w:val="20"/>
        </w:rPr>
        <w:t>. On the other hand, 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debate centers around how we can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incorporate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ethical</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principles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we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have</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collectively</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agreed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upon</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into</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systems so that, during their use, they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can act</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based</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on sound moral</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 xml:space="preserve">foundations </w:t>
      </w:r>
      <w:r w:rsidRPr="003C626F">
        <w:rPr>
          <w:rFonts w:ascii="Times New Roman" w:hAnsi="Times New Roman" w:cs="Times New Roman"/>
          <w:b/>
          <w:sz w:val="20"/>
          <w:szCs w:val="20"/>
        </w:rPr>
        <w:t xml:space="preserve">(Anderson et al., </w:t>
      </w:r>
      <w:r w:rsidRPr="003C626F">
        <w:rPr>
          <w:rFonts w:ascii="Times New Roman" w:hAnsi="Times New Roman" w:cs="Times New Roman"/>
          <w:b/>
          <w:spacing w:val="-2"/>
          <w:sz w:val="20"/>
          <w:szCs w:val="20"/>
        </w:rPr>
        <w:t>2011).</w:t>
      </w:r>
    </w:p>
    <w:p w14:paraId="2104CFC1" w14:textId="77777777" w:rsidR="004C6797" w:rsidRPr="003C626F" w:rsidRDefault="004C6797" w:rsidP="004C6797">
      <w:pPr>
        <w:pStyle w:val="BodyText"/>
        <w:jc w:val="both"/>
        <w:rPr>
          <w:rFonts w:ascii="Times New Roman" w:hAnsi="Times New Roman" w:cs="Times New Roman"/>
          <w:b/>
          <w:sz w:val="20"/>
          <w:szCs w:val="20"/>
        </w:rPr>
      </w:pPr>
    </w:p>
    <w:p w14:paraId="50A2EF49" w14:textId="77777777" w:rsidR="004C6797" w:rsidRPr="003C626F" w:rsidRDefault="004C6797" w:rsidP="004C6797">
      <w:pPr>
        <w:pStyle w:val="BodyText"/>
        <w:ind w:left="1288" w:right="131" w:firstLine="720"/>
        <w:jc w:val="both"/>
        <w:rPr>
          <w:rFonts w:ascii="Times New Roman" w:hAnsi="Times New Roman" w:cs="Times New Roman"/>
          <w:b/>
          <w:sz w:val="20"/>
          <w:szCs w:val="20"/>
        </w:rPr>
      </w:pPr>
      <w:r w:rsidRPr="003C626F">
        <w:rPr>
          <w:rFonts w:ascii="Times New Roman" w:hAnsi="Times New Roman" w:cs="Times New Roman"/>
          <w:sz w:val="20"/>
          <w:szCs w:val="20"/>
        </w:rPr>
        <w:t xml:space="preserve">The application of AI in the public sector is generally understood to aim at improving effectiveness and efficiency while minimizing errors, ultimately leading to the best decisions </w:t>
      </w:r>
      <w:r w:rsidRPr="003C626F">
        <w:rPr>
          <w:rFonts w:ascii="Times New Roman" w:hAnsi="Times New Roman" w:cs="Times New Roman"/>
          <w:b/>
          <w:sz w:val="20"/>
          <w:szCs w:val="20"/>
        </w:rPr>
        <w:t>(Wirtz, 2018)</w:t>
      </w:r>
      <w:r w:rsidRPr="003C626F">
        <w:rPr>
          <w:rFonts w:ascii="Times New Roman" w:hAnsi="Times New Roman" w:cs="Times New Roman"/>
          <w:sz w:val="20"/>
          <w:szCs w:val="20"/>
        </w:rPr>
        <w:t>. However, since AI systems are not flawless and human misjudgments can still occur, decisions made based on AI might pose a real threat to humanity</w:t>
      </w:r>
      <w:r w:rsidRPr="003C626F">
        <w:rPr>
          <w:rFonts w:ascii="Times New Roman" w:hAnsi="Times New Roman" w:cs="Times New Roman"/>
          <w:spacing w:val="-3"/>
          <w:sz w:val="20"/>
          <w:szCs w:val="20"/>
        </w:rPr>
        <w:t xml:space="preserve"> </w:t>
      </w:r>
      <w:r w:rsidRPr="003C626F">
        <w:rPr>
          <w:rFonts w:ascii="Times New Roman" w:hAnsi="Times New Roman" w:cs="Times New Roman"/>
          <w:b/>
          <w:sz w:val="20"/>
          <w:szCs w:val="20"/>
        </w:rPr>
        <w:t>(Krausova,</w:t>
      </w:r>
      <w:r w:rsidRPr="003C626F">
        <w:rPr>
          <w:rFonts w:ascii="Times New Roman" w:hAnsi="Times New Roman" w:cs="Times New Roman"/>
          <w:b/>
          <w:spacing w:val="-1"/>
          <w:sz w:val="20"/>
          <w:szCs w:val="20"/>
        </w:rPr>
        <w:t xml:space="preserve"> </w:t>
      </w:r>
      <w:r w:rsidRPr="003C626F">
        <w:rPr>
          <w:rFonts w:ascii="Times New Roman" w:hAnsi="Times New Roman" w:cs="Times New Roman"/>
          <w:b/>
          <w:sz w:val="20"/>
          <w:szCs w:val="20"/>
        </w:rPr>
        <w:t>2017).</w:t>
      </w:r>
      <w:r w:rsidRPr="003C626F">
        <w:rPr>
          <w:rFonts w:ascii="Times New Roman" w:hAnsi="Times New Roman" w:cs="Times New Roman"/>
          <w:b/>
          <w:spacing w:val="-2"/>
          <w:sz w:val="20"/>
          <w:szCs w:val="20"/>
        </w:rPr>
        <w:t xml:space="preserve"> </w:t>
      </w:r>
      <w:r w:rsidRPr="003C626F">
        <w:rPr>
          <w:rFonts w:ascii="Times New Roman" w:hAnsi="Times New Roman" w:cs="Times New Roman"/>
          <w:sz w:val="20"/>
          <w:szCs w:val="20"/>
        </w:rPr>
        <w:t>Furthermore,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decision-making</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differs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from that</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humans.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While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makes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decisions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based</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solely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instrumental</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rationality,</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humans also</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involve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deep</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awareness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emotions</w:t>
      </w:r>
      <w:r w:rsidRPr="003C626F">
        <w:rPr>
          <w:rFonts w:ascii="Times New Roman" w:hAnsi="Times New Roman" w:cs="Times New Roman"/>
          <w:spacing w:val="-3"/>
          <w:sz w:val="20"/>
          <w:szCs w:val="20"/>
        </w:rPr>
        <w:t xml:space="preserve"> </w:t>
      </w:r>
      <w:r w:rsidRPr="003C626F">
        <w:rPr>
          <w:rFonts w:ascii="Times New Roman" w:hAnsi="Times New Roman" w:cs="Times New Roman"/>
          <w:b/>
          <w:sz w:val="20"/>
          <w:szCs w:val="20"/>
        </w:rPr>
        <w:t>(Banerjee et al.,</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 xml:space="preserve">2018). </w:t>
      </w:r>
      <w:r w:rsidRPr="003C626F">
        <w:rPr>
          <w:rFonts w:ascii="Times New Roman" w:hAnsi="Times New Roman" w:cs="Times New Roman"/>
          <w:sz w:val="20"/>
          <w:szCs w:val="20"/>
        </w:rPr>
        <w:t>This</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instrumentality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 xml:space="preserve">of awareness and emotion is what fundamentally distinguishes humans from AI. Based on this framework, significant ethical and moral questions arise: is it morally justifiable to empower AI—lacking consciousness and emotion—to govern and make decisions affecting human lives, when humans themselves possess these attributes? </w:t>
      </w:r>
      <w:r w:rsidRPr="003C626F">
        <w:rPr>
          <w:rFonts w:ascii="Times New Roman" w:hAnsi="Times New Roman" w:cs="Times New Roman"/>
          <w:b/>
          <w:sz w:val="20"/>
          <w:szCs w:val="20"/>
        </w:rPr>
        <w:t xml:space="preserve">Wirtz (2018) </w:t>
      </w:r>
      <w:r w:rsidRPr="003C626F">
        <w:rPr>
          <w:rFonts w:ascii="Times New Roman" w:hAnsi="Times New Roman" w:cs="Times New Roman"/>
          <w:sz w:val="20"/>
          <w:szCs w:val="20"/>
        </w:rPr>
        <w:t>argues that it would be problematic if rules were changed and adapted too easily just because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machine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instructed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future,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AI’s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self-learning</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feature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may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lead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it</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make decisions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are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no longer</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based on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normative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ethics,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ultimately becoming</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 xml:space="preserve">unpredictable to humans </w:t>
      </w:r>
      <w:r w:rsidRPr="003C626F">
        <w:rPr>
          <w:rFonts w:ascii="Times New Roman" w:hAnsi="Times New Roman" w:cs="Times New Roman"/>
          <w:b/>
          <w:sz w:val="20"/>
          <w:szCs w:val="20"/>
        </w:rPr>
        <w:t>(Wirtz, 2018).</w:t>
      </w:r>
    </w:p>
    <w:p w14:paraId="15C2AB00" w14:textId="77777777" w:rsidR="004C6797" w:rsidRPr="003C626F" w:rsidRDefault="004C6797" w:rsidP="004C6797">
      <w:pPr>
        <w:pStyle w:val="BodyText"/>
        <w:jc w:val="both"/>
        <w:rPr>
          <w:rFonts w:ascii="Times New Roman" w:hAnsi="Times New Roman" w:cs="Times New Roman"/>
          <w:b/>
          <w:sz w:val="20"/>
          <w:szCs w:val="20"/>
        </w:rPr>
      </w:pPr>
    </w:p>
    <w:p w14:paraId="6826CC8E" w14:textId="77777777" w:rsidR="004C6797" w:rsidRPr="003C626F" w:rsidRDefault="004C6797" w:rsidP="004C6797">
      <w:pPr>
        <w:pStyle w:val="BodyText"/>
        <w:ind w:left="1288" w:right="132" w:firstLine="720"/>
        <w:jc w:val="both"/>
        <w:rPr>
          <w:rFonts w:ascii="Times New Roman" w:hAnsi="Times New Roman" w:cs="Times New Roman"/>
          <w:b/>
          <w:sz w:val="20"/>
          <w:szCs w:val="20"/>
        </w:rPr>
      </w:pPr>
      <w:r w:rsidRPr="003C626F">
        <w:rPr>
          <w:rFonts w:ascii="Times New Roman" w:hAnsi="Times New Roman" w:cs="Times New Roman"/>
          <w:sz w:val="20"/>
          <w:szCs w:val="20"/>
        </w:rPr>
        <w:t>Moreover,</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discussion</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surrounding</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cannot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be</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separated</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concept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of moral</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dilemmas.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moral</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dilemma</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is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situation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where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system</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must</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choose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between two or more conflicting alternatives, with the understanding that “no moral choice is without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undesirable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moral</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consequences</w:t>
      </w:r>
      <w:r w:rsidRPr="003C626F">
        <w:rPr>
          <w:rFonts w:ascii="Times New Roman" w:hAnsi="Times New Roman" w:cs="Times New Roman"/>
          <w:b/>
          <w:sz w:val="20"/>
          <w:szCs w:val="20"/>
        </w:rPr>
        <w:t>”</w:t>
      </w:r>
      <w:r w:rsidRPr="003C626F">
        <w:rPr>
          <w:rFonts w:ascii="Times New Roman" w:hAnsi="Times New Roman" w:cs="Times New Roman"/>
          <w:b/>
          <w:spacing w:val="-3"/>
          <w:sz w:val="20"/>
          <w:szCs w:val="20"/>
        </w:rPr>
        <w:t xml:space="preserve"> </w:t>
      </w:r>
      <w:r w:rsidRPr="003C626F">
        <w:rPr>
          <w:rFonts w:ascii="Times New Roman" w:hAnsi="Times New Roman" w:cs="Times New Roman"/>
          <w:b/>
          <w:sz w:val="20"/>
          <w:szCs w:val="20"/>
        </w:rPr>
        <w:t>(Ditto</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&amp;</w:t>
      </w:r>
      <w:r w:rsidRPr="003C626F">
        <w:rPr>
          <w:rFonts w:ascii="Times New Roman" w:hAnsi="Times New Roman" w:cs="Times New Roman"/>
          <w:b/>
          <w:spacing w:val="-7"/>
          <w:sz w:val="20"/>
          <w:szCs w:val="20"/>
        </w:rPr>
        <w:t xml:space="preserve"> </w:t>
      </w:r>
      <w:r w:rsidRPr="003C626F">
        <w:rPr>
          <w:rFonts w:ascii="Times New Roman" w:hAnsi="Times New Roman" w:cs="Times New Roman"/>
          <w:b/>
          <w:sz w:val="20"/>
          <w:szCs w:val="20"/>
        </w:rPr>
        <w:t>Liu,</w:t>
      </w:r>
      <w:r w:rsidRPr="003C626F">
        <w:rPr>
          <w:rFonts w:ascii="Times New Roman" w:hAnsi="Times New Roman" w:cs="Times New Roman"/>
          <w:b/>
          <w:spacing w:val="-4"/>
          <w:sz w:val="20"/>
          <w:szCs w:val="20"/>
        </w:rPr>
        <w:t xml:space="preserve"> </w:t>
      </w:r>
      <w:r w:rsidRPr="003C626F">
        <w:rPr>
          <w:rFonts w:ascii="Times New Roman" w:hAnsi="Times New Roman" w:cs="Times New Roman"/>
          <w:b/>
          <w:sz w:val="20"/>
          <w:szCs w:val="20"/>
        </w:rPr>
        <w:t>2012,</w:t>
      </w:r>
      <w:r w:rsidRPr="003C626F">
        <w:rPr>
          <w:rFonts w:ascii="Times New Roman" w:hAnsi="Times New Roman" w:cs="Times New Roman"/>
          <w:b/>
          <w:spacing w:val="-2"/>
          <w:sz w:val="20"/>
          <w:szCs w:val="20"/>
        </w:rPr>
        <w:t xml:space="preserve"> </w:t>
      </w:r>
      <w:r w:rsidRPr="003C626F">
        <w:rPr>
          <w:rFonts w:ascii="Times New Roman" w:hAnsi="Times New Roman" w:cs="Times New Roman"/>
          <w:b/>
          <w:sz w:val="20"/>
          <w:szCs w:val="20"/>
        </w:rPr>
        <w:t>p.</w:t>
      </w:r>
      <w:r w:rsidRPr="003C626F">
        <w:rPr>
          <w:rFonts w:ascii="Times New Roman" w:hAnsi="Times New Roman" w:cs="Times New Roman"/>
          <w:b/>
          <w:spacing w:val="-6"/>
          <w:sz w:val="20"/>
          <w:szCs w:val="20"/>
        </w:rPr>
        <w:t xml:space="preserve"> </w:t>
      </w:r>
      <w:r w:rsidRPr="003C626F">
        <w:rPr>
          <w:rFonts w:ascii="Times New Roman" w:hAnsi="Times New Roman" w:cs="Times New Roman"/>
          <w:b/>
          <w:sz w:val="20"/>
          <w:szCs w:val="20"/>
        </w:rPr>
        <w:t>55).</w:t>
      </w:r>
      <w:r w:rsidRPr="003C626F">
        <w:rPr>
          <w:rFonts w:ascii="Times New Roman" w:hAnsi="Times New Roman" w:cs="Times New Roman"/>
          <w:b/>
          <w:spacing w:val="-3"/>
          <w:sz w:val="20"/>
          <w:szCs w:val="20"/>
        </w:rPr>
        <w:t xml:space="preserve"> </w:t>
      </w:r>
      <w:r w:rsidRPr="003C626F">
        <w:rPr>
          <w:rFonts w:ascii="Times New Roman" w:hAnsi="Times New Roman" w:cs="Times New Roman"/>
          <w:sz w:val="20"/>
          <w:szCs w:val="20"/>
        </w:rPr>
        <w:t>What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happens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 xml:space="preserve">when AI is confronted with a dilemma between two decisions, both of which have negative implications? </w:t>
      </w:r>
      <w:r w:rsidRPr="003C626F">
        <w:rPr>
          <w:rFonts w:ascii="Times New Roman" w:hAnsi="Times New Roman" w:cs="Times New Roman"/>
          <w:b/>
          <w:sz w:val="20"/>
          <w:szCs w:val="20"/>
        </w:rPr>
        <w:t xml:space="preserve">Deng (2015) </w:t>
      </w:r>
      <w:r w:rsidRPr="003C626F">
        <w:rPr>
          <w:rFonts w:ascii="Times New Roman" w:hAnsi="Times New Roman" w:cs="Times New Roman"/>
          <w:sz w:val="20"/>
          <w:szCs w:val="20"/>
        </w:rPr>
        <w:t xml:space="preserve">emphasizes that such dilemmas are highly relevant in AI applications, where there may be situations in which AI is forced to make an ethical decision between two equally negative alternatives. A potential solution to this issue, as discussed earlier, lies in one of the key debates surrounding AI—how to integrate ethical principles into AI systems. However, challenges will persist, one of the greatest being identifying what is best and relevant for AI so that these systems can reason correctly in situations involving ethical concerns </w:t>
      </w:r>
      <w:r w:rsidRPr="003C626F">
        <w:rPr>
          <w:rFonts w:ascii="Times New Roman" w:hAnsi="Times New Roman" w:cs="Times New Roman"/>
          <w:b/>
          <w:sz w:val="20"/>
          <w:szCs w:val="20"/>
        </w:rPr>
        <w:t>(Deng, 2015).</w:t>
      </w:r>
    </w:p>
    <w:p w14:paraId="33824E36" w14:textId="77777777" w:rsidR="004C6797" w:rsidRPr="003C626F" w:rsidRDefault="004C6797" w:rsidP="004C6797">
      <w:pPr>
        <w:pStyle w:val="BodyText"/>
        <w:jc w:val="both"/>
        <w:rPr>
          <w:rFonts w:ascii="Times New Roman" w:hAnsi="Times New Roman" w:cs="Times New Roman"/>
          <w:b/>
          <w:sz w:val="20"/>
          <w:szCs w:val="20"/>
        </w:rPr>
      </w:pPr>
    </w:p>
    <w:p w14:paraId="28FF334D" w14:textId="77777777" w:rsidR="004C6797" w:rsidRPr="00CB77A7" w:rsidRDefault="004C6797" w:rsidP="004C6797">
      <w:pPr>
        <w:pStyle w:val="ListParagraph"/>
        <w:numPr>
          <w:ilvl w:val="0"/>
          <w:numId w:val="22"/>
        </w:numPr>
        <w:rPr>
          <w:rFonts w:ascii="Times New Roman" w:hAnsi="Times New Roman" w:cs="Times New Roman"/>
          <w:b/>
          <w:bCs/>
          <w:sz w:val="24"/>
          <w:szCs w:val="24"/>
        </w:rPr>
      </w:pPr>
      <w:r w:rsidRPr="00CB77A7">
        <w:rPr>
          <w:rFonts w:ascii="Times New Roman" w:hAnsi="Times New Roman" w:cs="Times New Roman"/>
          <w:b/>
          <w:bCs/>
          <w:sz w:val="24"/>
          <w:szCs w:val="24"/>
        </w:rPr>
        <w:t>Conclusion</w:t>
      </w:r>
    </w:p>
    <w:p w14:paraId="615FE7F6" w14:textId="77777777" w:rsidR="004C6797" w:rsidRPr="003C626F" w:rsidRDefault="004C6797" w:rsidP="004C6797">
      <w:pPr>
        <w:pStyle w:val="BodyText"/>
        <w:jc w:val="both"/>
        <w:rPr>
          <w:rFonts w:ascii="Times New Roman" w:hAnsi="Times New Roman" w:cs="Times New Roman"/>
          <w:b/>
          <w:sz w:val="20"/>
          <w:szCs w:val="20"/>
        </w:rPr>
      </w:pPr>
    </w:p>
    <w:p w14:paraId="3752C426" w14:textId="77777777" w:rsidR="004C6797" w:rsidRPr="003C626F" w:rsidRDefault="004C6797" w:rsidP="004C6797">
      <w:pPr>
        <w:pStyle w:val="BodyText"/>
        <w:ind w:left="1288" w:right="147" w:firstLine="718"/>
        <w:jc w:val="both"/>
        <w:rPr>
          <w:rFonts w:ascii="Times New Roman" w:hAnsi="Times New Roman" w:cs="Times New Roman"/>
          <w:sz w:val="20"/>
          <w:szCs w:val="20"/>
        </w:rPr>
      </w:pPr>
      <w:r w:rsidRPr="003C626F">
        <w:rPr>
          <w:rFonts w:ascii="Times New Roman" w:hAnsi="Times New Roman" w:cs="Times New Roman"/>
          <w:sz w:val="20"/>
          <w:szCs w:val="20"/>
        </w:rPr>
        <w:t>The emergence of AI as a tool offering efficiency and effectiveness is seen as a significant benefit in the public policy process, addressing past issues such as slow processes,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bureaucratic</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entanglements,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lack</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adaptability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change.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Using</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William</w:t>
      </w:r>
    </w:p>
    <w:p w14:paraId="7D3BC256" w14:textId="77777777" w:rsidR="004C6797" w:rsidRPr="003C626F" w:rsidRDefault="004C6797" w:rsidP="004C6797">
      <w:pPr>
        <w:pStyle w:val="BodyText"/>
        <w:jc w:val="both"/>
        <w:rPr>
          <w:rFonts w:ascii="Times New Roman" w:hAnsi="Times New Roman" w:cs="Times New Roman"/>
          <w:sz w:val="20"/>
          <w:szCs w:val="20"/>
        </w:rPr>
        <w:sectPr w:rsidR="004C6797" w:rsidRPr="003C626F" w:rsidSect="004C6797">
          <w:pgSz w:w="11920" w:h="16850"/>
          <w:pgMar w:top="1580" w:right="1559" w:bottom="280" w:left="1700" w:header="715" w:footer="0" w:gutter="0"/>
          <w:cols w:space="720"/>
        </w:sectPr>
      </w:pPr>
    </w:p>
    <w:p w14:paraId="789B69F4" w14:textId="77777777" w:rsidR="004C6797" w:rsidRPr="003C626F" w:rsidRDefault="004C6797" w:rsidP="004C6797">
      <w:pPr>
        <w:pStyle w:val="BodyText"/>
        <w:ind w:left="1288" w:right="134"/>
        <w:jc w:val="both"/>
        <w:rPr>
          <w:rFonts w:ascii="Times New Roman" w:hAnsi="Times New Roman" w:cs="Times New Roman"/>
          <w:sz w:val="20"/>
          <w:szCs w:val="20"/>
        </w:rPr>
      </w:pPr>
      <w:r w:rsidRPr="003C626F">
        <w:rPr>
          <w:rFonts w:ascii="Times New Roman" w:hAnsi="Times New Roman" w:cs="Times New Roman"/>
          <w:sz w:val="20"/>
          <w:szCs w:val="20"/>
        </w:rPr>
        <w:t>Dunn's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cycle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framework,</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this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research</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finds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holds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vast</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significant potential</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driving</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improvements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both</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efficiency</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quality</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each</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stage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public policy</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Starting</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from</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agenda-setting</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phase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determine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important</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issues,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policy formulation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provide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alternative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solutions,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adoption</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to</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choose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best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alternative, policy implementation to apply the policy, and finally the evaluation phase to assess the impact</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results</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implementation,</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optimizing</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usage</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plays</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crucial</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13"/>
          <w:sz w:val="20"/>
          <w:szCs w:val="20"/>
        </w:rPr>
        <w:t xml:space="preserve"> </w:t>
      </w:r>
      <w:r w:rsidRPr="003C626F">
        <w:rPr>
          <w:rFonts w:ascii="Times New Roman" w:hAnsi="Times New Roman" w:cs="Times New Roman"/>
          <w:sz w:val="20"/>
          <w:szCs w:val="20"/>
        </w:rPr>
        <w:t>important role, particularly in terms of efficiency and effectiveness.</w:t>
      </w:r>
    </w:p>
    <w:p w14:paraId="7D3CBAA3" w14:textId="77777777" w:rsidR="004C6797" w:rsidRPr="003C626F" w:rsidRDefault="004C6797" w:rsidP="004C6797">
      <w:pPr>
        <w:pStyle w:val="BodyText"/>
        <w:jc w:val="both"/>
        <w:rPr>
          <w:rFonts w:ascii="Times New Roman" w:hAnsi="Times New Roman" w:cs="Times New Roman"/>
          <w:sz w:val="20"/>
          <w:szCs w:val="20"/>
        </w:rPr>
      </w:pPr>
    </w:p>
    <w:p w14:paraId="1DD0E8F1" w14:textId="77777777" w:rsidR="004C6797" w:rsidRPr="003C626F" w:rsidRDefault="004C6797" w:rsidP="004C6797">
      <w:pPr>
        <w:pStyle w:val="BodyText"/>
        <w:ind w:left="1286" w:right="134" w:firstLine="720"/>
        <w:jc w:val="both"/>
        <w:rPr>
          <w:rFonts w:ascii="Times New Roman" w:hAnsi="Times New Roman" w:cs="Times New Roman"/>
          <w:sz w:val="20"/>
          <w:szCs w:val="20"/>
        </w:rPr>
      </w:pPr>
      <w:r w:rsidRPr="003C626F">
        <w:rPr>
          <w:rFonts w:ascii="Times New Roman" w:hAnsi="Times New Roman" w:cs="Times New Roman"/>
          <w:sz w:val="20"/>
          <w:szCs w:val="20"/>
        </w:rPr>
        <w:t>Additionally,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one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feature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brought</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by</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such</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analytics,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allows</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public policymakers to quickly and instantly determine the next strategy by considering changes in public priorities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or circumstances. This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capability makes AI application highly relevant and contributive in driving a dynamic, iterative, and non-linear public policy process, which aligns with the inherent characteristics of the policy cycle described by Dunn. However, it must be acknowledged that the application of AI in the public sector is a double-edged sword. In addition to offering efficiency, AI also presents significant challenges, one of the most complicated being related to ethical concerns. The absence of awareness and emotion in AI systems raises a critical question: is it ethically and morally justifiable to grant decision-making power to an entity that relies solely on instrumental rationality to govern human lives, which inherently involve complex emotions and consciousness? The complexity of finding solutions to this question remains one of the biggest challenges.</w:t>
      </w:r>
    </w:p>
    <w:p w14:paraId="7285246A" w14:textId="77777777" w:rsidR="004C6797" w:rsidRPr="003C626F" w:rsidRDefault="004C6797" w:rsidP="004C6797">
      <w:pPr>
        <w:pStyle w:val="BodyText"/>
        <w:jc w:val="both"/>
        <w:rPr>
          <w:rFonts w:ascii="Times New Roman" w:hAnsi="Times New Roman" w:cs="Times New Roman"/>
          <w:sz w:val="20"/>
          <w:szCs w:val="20"/>
        </w:rPr>
      </w:pPr>
    </w:p>
    <w:p w14:paraId="78D2DF8E" w14:textId="77777777" w:rsidR="004C6797" w:rsidRPr="003C626F" w:rsidRDefault="004C6797" w:rsidP="004C6797">
      <w:pPr>
        <w:pStyle w:val="BodyText"/>
        <w:ind w:left="1286" w:right="136" w:firstLine="720"/>
        <w:jc w:val="both"/>
        <w:rPr>
          <w:rFonts w:ascii="Times New Roman" w:hAnsi="Times New Roman" w:cs="Times New Roman"/>
          <w:sz w:val="20"/>
          <w:szCs w:val="20"/>
        </w:rPr>
      </w:pPr>
      <w:r w:rsidRPr="003C626F">
        <w:rPr>
          <w:rFonts w:ascii="Times New Roman" w:hAnsi="Times New Roman" w:cs="Times New Roman"/>
          <w:sz w:val="20"/>
          <w:szCs w:val="20"/>
        </w:rPr>
        <w:t>The contribution of this research to similar studies lies in its exploration of how the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maximization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AI</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use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each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stage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Dunn's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cycle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can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be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achieved,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as well</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how</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ethical</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concerns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generally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become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challenge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implementation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process. This research is limited to analyzing these areas. Due to its limitations, the author recommends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future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research</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comprehensively</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discuss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the challenges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that</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may</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arise</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at each stage of the public policy process, along with practical and relevant solutions that various stakeholders can implement.</w:t>
      </w:r>
    </w:p>
    <w:p w14:paraId="4CD73DE6" w14:textId="77777777" w:rsidR="004C6797" w:rsidRPr="003C626F" w:rsidRDefault="004C6797" w:rsidP="004C6797">
      <w:pPr>
        <w:pStyle w:val="BodyText"/>
        <w:jc w:val="both"/>
        <w:rPr>
          <w:rFonts w:ascii="Times New Roman" w:hAnsi="Times New Roman" w:cs="Times New Roman"/>
          <w:sz w:val="20"/>
          <w:szCs w:val="20"/>
        </w:rPr>
      </w:pPr>
    </w:p>
    <w:p w14:paraId="76082572" w14:textId="77777777" w:rsidR="00A714D2" w:rsidRDefault="00A714D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References</w:t>
      </w:r>
    </w:p>
    <w:p w14:paraId="319189FD" w14:textId="77777777" w:rsidR="00A714D2" w:rsidRPr="003C626F" w:rsidRDefault="00A714D2" w:rsidP="00A714D2">
      <w:pPr>
        <w:spacing w:after="0" w:line="240" w:lineRule="auto"/>
        <w:ind w:left="1288" w:right="134" w:hanging="720"/>
        <w:rPr>
          <w:rFonts w:ascii="Times New Roman" w:hAnsi="Times New Roman" w:cs="Times New Roman"/>
          <w:sz w:val="20"/>
          <w:szCs w:val="20"/>
        </w:rPr>
      </w:pPr>
      <w:r w:rsidRPr="003C626F">
        <w:rPr>
          <w:rFonts w:ascii="Times New Roman" w:hAnsi="Times New Roman" w:cs="Times New Roman"/>
          <w:sz w:val="20"/>
          <w:szCs w:val="20"/>
        </w:rPr>
        <w:t xml:space="preserve">Althati, C., Malaiyappan, J. N. A., &amp; Shanmugam, L. (2024). AI-Driven Analytics: Transforming Data Platforms for Real-Time Decision Making. </w:t>
      </w:r>
      <w:r w:rsidRPr="003C626F">
        <w:rPr>
          <w:rFonts w:ascii="Times New Roman" w:hAnsi="Times New Roman" w:cs="Times New Roman"/>
          <w:i/>
          <w:sz w:val="20"/>
          <w:szCs w:val="20"/>
        </w:rPr>
        <w:t>Deleted Journal</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3</w:t>
      </w:r>
      <w:r w:rsidRPr="003C626F">
        <w:rPr>
          <w:rFonts w:ascii="Times New Roman" w:hAnsi="Times New Roman" w:cs="Times New Roman"/>
          <w:sz w:val="20"/>
          <w:szCs w:val="20"/>
        </w:rPr>
        <w:t xml:space="preserve">(1), 392–402. </w:t>
      </w:r>
      <w:r w:rsidRPr="003C626F">
        <w:rPr>
          <w:rFonts w:ascii="Times New Roman" w:hAnsi="Times New Roman" w:cs="Times New Roman"/>
          <w:spacing w:val="-2"/>
          <w:sz w:val="20"/>
          <w:szCs w:val="20"/>
        </w:rPr>
        <w:t>https://doi.org/10.60087/jaigs.v3i1.155</w:t>
      </w:r>
    </w:p>
    <w:p w14:paraId="37678740" w14:textId="77777777" w:rsidR="00A714D2" w:rsidRPr="003C626F" w:rsidRDefault="00A714D2" w:rsidP="00A714D2">
      <w:pPr>
        <w:spacing w:after="0" w:line="240" w:lineRule="auto"/>
        <w:ind w:left="568"/>
        <w:rPr>
          <w:rFonts w:ascii="Times New Roman" w:hAnsi="Times New Roman" w:cs="Times New Roman"/>
          <w:sz w:val="20"/>
          <w:szCs w:val="20"/>
        </w:rPr>
      </w:pPr>
      <w:r w:rsidRPr="003C626F">
        <w:rPr>
          <w:rFonts w:ascii="Times New Roman" w:hAnsi="Times New Roman" w:cs="Times New Roman"/>
          <w:sz w:val="20"/>
          <w:szCs w:val="20"/>
        </w:rPr>
        <w:t>Anderson,</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M.,</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Anderson,</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L.</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 xml:space="preserve">(2011). </w:t>
      </w:r>
      <w:r w:rsidRPr="003C626F">
        <w:rPr>
          <w:rFonts w:ascii="Times New Roman" w:hAnsi="Times New Roman" w:cs="Times New Roman"/>
          <w:i/>
          <w:sz w:val="20"/>
          <w:szCs w:val="20"/>
        </w:rPr>
        <w:t>Machine</w:t>
      </w:r>
      <w:r w:rsidRPr="003C626F">
        <w:rPr>
          <w:rFonts w:ascii="Times New Roman" w:hAnsi="Times New Roman" w:cs="Times New Roman"/>
          <w:i/>
          <w:spacing w:val="-6"/>
          <w:sz w:val="20"/>
          <w:szCs w:val="20"/>
        </w:rPr>
        <w:t xml:space="preserve"> </w:t>
      </w:r>
      <w:r w:rsidRPr="003C626F">
        <w:rPr>
          <w:rFonts w:ascii="Times New Roman" w:hAnsi="Times New Roman" w:cs="Times New Roman"/>
          <w:i/>
          <w:sz w:val="20"/>
          <w:szCs w:val="20"/>
        </w:rPr>
        <w:t>Ethics</w:t>
      </w:r>
      <w:r w:rsidRPr="003C626F">
        <w:rPr>
          <w:rFonts w:ascii="Times New Roman" w:hAnsi="Times New Roman" w:cs="Times New Roman"/>
          <w:sz w:val="20"/>
          <w:szCs w:val="20"/>
        </w:rPr>
        <w:t>.</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Cambridge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University</w:t>
      </w:r>
      <w:r w:rsidRPr="003C626F">
        <w:rPr>
          <w:rFonts w:ascii="Times New Roman" w:hAnsi="Times New Roman" w:cs="Times New Roman"/>
          <w:spacing w:val="2"/>
          <w:sz w:val="20"/>
          <w:szCs w:val="20"/>
        </w:rPr>
        <w:t xml:space="preserve"> </w:t>
      </w:r>
      <w:r w:rsidRPr="003C626F">
        <w:rPr>
          <w:rFonts w:ascii="Times New Roman" w:hAnsi="Times New Roman" w:cs="Times New Roman"/>
          <w:spacing w:val="-2"/>
          <w:sz w:val="20"/>
          <w:szCs w:val="20"/>
        </w:rPr>
        <w:t>Press.</w:t>
      </w:r>
    </w:p>
    <w:p w14:paraId="19BC8203" w14:textId="77777777" w:rsidR="00A714D2" w:rsidRPr="003C626F" w:rsidRDefault="00A714D2" w:rsidP="00A714D2">
      <w:pPr>
        <w:spacing w:after="0" w:line="240" w:lineRule="auto"/>
        <w:ind w:left="1288" w:right="131" w:hanging="720"/>
        <w:rPr>
          <w:rFonts w:ascii="Times New Roman" w:hAnsi="Times New Roman" w:cs="Times New Roman"/>
          <w:sz w:val="20"/>
          <w:szCs w:val="20"/>
        </w:rPr>
      </w:pPr>
      <w:r w:rsidRPr="003C626F">
        <w:rPr>
          <w:rFonts w:ascii="Times New Roman" w:hAnsi="Times New Roman" w:cs="Times New Roman"/>
          <w:sz w:val="20"/>
          <w:szCs w:val="20"/>
        </w:rPr>
        <w:t xml:space="preserve">Anshari, M., Hamdan, M., Ahmad, N., Ali, E., &amp; Haidi, H. (2022). COVID-19, artificial intelligence, ethical challenges and policy implications. </w:t>
      </w:r>
      <w:r w:rsidRPr="003C626F">
        <w:rPr>
          <w:rFonts w:ascii="Times New Roman" w:hAnsi="Times New Roman" w:cs="Times New Roman"/>
          <w:i/>
          <w:sz w:val="20"/>
          <w:szCs w:val="20"/>
        </w:rPr>
        <w:t>AI &amp; Society</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38</w:t>
      </w:r>
      <w:r w:rsidRPr="003C626F">
        <w:rPr>
          <w:rFonts w:ascii="Times New Roman" w:hAnsi="Times New Roman" w:cs="Times New Roman"/>
          <w:sz w:val="20"/>
          <w:szCs w:val="20"/>
        </w:rPr>
        <w:t xml:space="preserve">(2), 707–720. https://doi.org/10.1007/s00146- </w:t>
      </w:r>
      <w:r w:rsidRPr="003C626F">
        <w:rPr>
          <w:rFonts w:ascii="Times New Roman" w:hAnsi="Times New Roman" w:cs="Times New Roman"/>
          <w:spacing w:val="-2"/>
          <w:sz w:val="20"/>
          <w:szCs w:val="20"/>
        </w:rPr>
        <w:t>022-01471-6</w:t>
      </w:r>
    </w:p>
    <w:p w14:paraId="6FD465CF" w14:textId="77777777" w:rsidR="00A714D2" w:rsidRPr="003C626F" w:rsidRDefault="00A714D2" w:rsidP="00A714D2">
      <w:pPr>
        <w:spacing w:after="0" w:line="240" w:lineRule="auto"/>
        <w:ind w:left="1288" w:right="129" w:hanging="720"/>
        <w:rPr>
          <w:rFonts w:ascii="Times New Roman" w:hAnsi="Times New Roman" w:cs="Times New Roman"/>
          <w:sz w:val="20"/>
          <w:szCs w:val="20"/>
        </w:rPr>
      </w:pPr>
      <w:r w:rsidRPr="003C626F">
        <w:rPr>
          <w:rFonts w:ascii="Times New Roman" w:hAnsi="Times New Roman" w:cs="Times New Roman"/>
          <w:sz w:val="20"/>
          <w:szCs w:val="20"/>
        </w:rPr>
        <w:t>Banerjee,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S.,</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Singh,</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K.,</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Bajpai,</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J.</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(2017).</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Comparative</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Study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Decision-Making Capability</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 xml:space="preserve">Between Human and Artificial Intelligence. In </w:t>
      </w:r>
      <w:r w:rsidRPr="003C626F">
        <w:rPr>
          <w:rFonts w:ascii="Times New Roman" w:hAnsi="Times New Roman" w:cs="Times New Roman"/>
          <w:i/>
          <w:sz w:val="20"/>
          <w:szCs w:val="20"/>
        </w:rPr>
        <w:t xml:space="preserve">Advances in intelligent systems and computing </w:t>
      </w:r>
      <w:r w:rsidRPr="003C626F">
        <w:rPr>
          <w:rFonts w:ascii="Times New Roman" w:hAnsi="Times New Roman" w:cs="Times New Roman"/>
          <w:sz w:val="20"/>
          <w:szCs w:val="20"/>
        </w:rPr>
        <w:t>(pp.</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 xml:space="preserve">203–210). </w:t>
      </w:r>
      <w:r w:rsidRPr="003C626F">
        <w:rPr>
          <w:rFonts w:ascii="Times New Roman" w:hAnsi="Times New Roman" w:cs="Times New Roman"/>
          <w:spacing w:val="-2"/>
          <w:sz w:val="20"/>
          <w:szCs w:val="20"/>
        </w:rPr>
        <w:t>https://doi.org/10.1007/978-981-10-6747-1_23</w:t>
      </w:r>
    </w:p>
    <w:p w14:paraId="4252A34C" w14:textId="77777777" w:rsidR="00A714D2" w:rsidRPr="003C626F" w:rsidRDefault="00A714D2" w:rsidP="00A714D2">
      <w:pPr>
        <w:spacing w:after="0" w:line="240" w:lineRule="auto"/>
        <w:ind w:left="1288" w:right="135" w:hanging="720"/>
        <w:rPr>
          <w:rFonts w:ascii="Times New Roman" w:hAnsi="Times New Roman" w:cs="Times New Roman"/>
          <w:sz w:val="20"/>
          <w:szCs w:val="20"/>
        </w:rPr>
      </w:pPr>
      <w:r w:rsidRPr="003C626F">
        <w:rPr>
          <w:rFonts w:ascii="Times New Roman" w:hAnsi="Times New Roman" w:cs="Times New Roman"/>
          <w:sz w:val="20"/>
          <w:szCs w:val="20"/>
        </w:rPr>
        <w:t xml:space="preserve">Boon-Itt, S., &amp; Skunkan, Y. (2020). Public Perception of the COVID-19 Pandemic on Twitter: Sentiment Analysis and Topic Modeling Study. </w:t>
      </w:r>
      <w:r w:rsidRPr="003C626F">
        <w:rPr>
          <w:rFonts w:ascii="Times New Roman" w:hAnsi="Times New Roman" w:cs="Times New Roman"/>
          <w:i/>
          <w:sz w:val="20"/>
          <w:szCs w:val="20"/>
        </w:rPr>
        <w:t>JMIR Public Health and Surveillance</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6</w:t>
      </w:r>
      <w:r w:rsidRPr="003C626F">
        <w:rPr>
          <w:rFonts w:ascii="Times New Roman" w:hAnsi="Times New Roman" w:cs="Times New Roman"/>
          <w:sz w:val="20"/>
          <w:szCs w:val="20"/>
        </w:rPr>
        <w:t xml:space="preserve">(4), e21978. </w:t>
      </w:r>
      <w:r w:rsidRPr="003C626F">
        <w:rPr>
          <w:rFonts w:ascii="Times New Roman" w:hAnsi="Times New Roman" w:cs="Times New Roman"/>
          <w:spacing w:val="-2"/>
          <w:sz w:val="20"/>
          <w:szCs w:val="20"/>
        </w:rPr>
        <w:t>https://doi.org/10.2196/21978</w:t>
      </w:r>
    </w:p>
    <w:p w14:paraId="774F6011" w14:textId="77777777" w:rsidR="00A714D2" w:rsidRPr="003C626F" w:rsidRDefault="00A714D2" w:rsidP="00A714D2">
      <w:pPr>
        <w:spacing w:after="0" w:line="240" w:lineRule="auto"/>
        <w:ind w:left="1288" w:right="130" w:hanging="720"/>
        <w:rPr>
          <w:rFonts w:ascii="Times New Roman" w:hAnsi="Times New Roman" w:cs="Times New Roman"/>
          <w:sz w:val="20"/>
          <w:szCs w:val="20"/>
        </w:rPr>
      </w:pPr>
      <w:r w:rsidRPr="003C626F">
        <w:rPr>
          <w:rFonts w:ascii="Times New Roman" w:hAnsi="Times New Roman" w:cs="Times New Roman"/>
          <w:sz w:val="20"/>
          <w:szCs w:val="20"/>
        </w:rPr>
        <w:t xml:space="preserve">Boyce, G., &amp; Davids, C. (2009). Conflict of Interest in Policing and the Public Sector. </w:t>
      </w:r>
      <w:r w:rsidRPr="003C626F">
        <w:rPr>
          <w:rFonts w:ascii="Times New Roman" w:hAnsi="Times New Roman" w:cs="Times New Roman"/>
          <w:i/>
          <w:sz w:val="20"/>
          <w:szCs w:val="20"/>
        </w:rPr>
        <w:t>Public Management Review</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11</w:t>
      </w:r>
      <w:r w:rsidRPr="003C626F">
        <w:rPr>
          <w:rFonts w:ascii="Times New Roman" w:hAnsi="Times New Roman" w:cs="Times New Roman"/>
          <w:sz w:val="20"/>
          <w:szCs w:val="20"/>
        </w:rPr>
        <w:t>(5), 601–640. https://doi.org/10.1080/14719030902798255</w:t>
      </w:r>
    </w:p>
    <w:p w14:paraId="3B2554A0" w14:textId="77777777" w:rsidR="00A714D2" w:rsidRPr="003C626F" w:rsidRDefault="00A714D2" w:rsidP="00A714D2">
      <w:pPr>
        <w:spacing w:after="0" w:line="240" w:lineRule="auto"/>
        <w:ind w:left="1288" w:right="134" w:hanging="720"/>
        <w:rPr>
          <w:rFonts w:ascii="Times New Roman" w:hAnsi="Times New Roman" w:cs="Times New Roman"/>
          <w:sz w:val="20"/>
          <w:szCs w:val="20"/>
        </w:rPr>
      </w:pPr>
      <w:r w:rsidRPr="003C626F">
        <w:rPr>
          <w:rFonts w:ascii="Times New Roman" w:hAnsi="Times New Roman" w:cs="Times New Roman"/>
          <w:sz w:val="20"/>
          <w:szCs w:val="20"/>
        </w:rPr>
        <w:t>Chaeruddin,</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M.</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Syam,</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Akib,</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Haris,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H.</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(2024).</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Service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Quality-Based</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Trust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at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City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 xml:space="preserve">Resort Police in Indonesia. </w:t>
      </w:r>
      <w:r w:rsidRPr="003C626F">
        <w:rPr>
          <w:rFonts w:ascii="Times New Roman" w:hAnsi="Times New Roman" w:cs="Times New Roman"/>
          <w:i/>
          <w:sz w:val="20"/>
          <w:szCs w:val="20"/>
        </w:rPr>
        <w:t>KnE Social Sciences</w:t>
      </w:r>
      <w:r w:rsidRPr="003C626F">
        <w:rPr>
          <w:rFonts w:ascii="Times New Roman" w:hAnsi="Times New Roman" w:cs="Times New Roman"/>
          <w:sz w:val="20"/>
          <w:szCs w:val="20"/>
        </w:rPr>
        <w:t>. https://doi.org/10.18502/kss.v9i2.14916</w:t>
      </w:r>
    </w:p>
    <w:p w14:paraId="222C600F" w14:textId="77777777" w:rsidR="00A714D2" w:rsidRPr="003C626F" w:rsidRDefault="00A714D2" w:rsidP="00A714D2">
      <w:pPr>
        <w:tabs>
          <w:tab w:val="left" w:pos="2649"/>
          <w:tab w:val="left" w:pos="4159"/>
          <w:tab w:val="left" w:pos="4903"/>
          <w:tab w:val="left" w:pos="6152"/>
          <w:tab w:val="left" w:pos="7654"/>
        </w:tabs>
        <w:spacing w:after="0" w:line="240" w:lineRule="auto"/>
        <w:ind w:left="1288" w:right="139" w:hanging="720"/>
        <w:rPr>
          <w:rFonts w:ascii="Times New Roman" w:hAnsi="Times New Roman" w:cs="Times New Roman"/>
          <w:sz w:val="20"/>
          <w:szCs w:val="20"/>
        </w:rPr>
      </w:pPr>
      <w:r w:rsidRPr="003C626F">
        <w:rPr>
          <w:rFonts w:ascii="Times New Roman" w:hAnsi="Times New Roman" w:cs="Times New Roman"/>
          <w:sz w:val="20"/>
          <w:szCs w:val="20"/>
        </w:rPr>
        <w:t xml:space="preserve">Chun, A. H. W. (2007). Using AI for e-government automatic assessment of immigration application forms. </w:t>
      </w:r>
      <w:r w:rsidRPr="003C626F">
        <w:rPr>
          <w:rFonts w:ascii="Times New Roman" w:hAnsi="Times New Roman" w:cs="Times New Roman"/>
          <w:i/>
          <w:spacing w:val="-2"/>
          <w:sz w:val="20"/>
          <w:szCs w:val="20"/>
        </w:rPr>
        <w:t>Innovative</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Applications</w:t>
      </w:r>
      <w:r w:rsidRPr="003C626F">
        <w:rPr>
          <w:rFonts w:ascii="Times New Roman" w:hAnsi="Times New Roman" w:cs="Times New Roman"/>
          <w:i/>
          <w:sz w:val="20"/>
          <w:szCs w:val="20"/>
        </w:rPr>
        <w:tab/>
      </w:r>
      <w:r w:rsidRPr="003C626F">
        <w:rPr>
          <w:rFonts w:ascii="Times New Roman" w:hAnsi="Times New Roman" w:cs="Times New Roman"/>
          <w:i/>
          <w:spacing w:val="-6"/>
          <w:sz w:val="20"/>
          <w:szCs w:val="20"/>
        </w:rPr>
        <w:t>of</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Artificial</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Intelligence</w:t>
      </w:r>
      <w:r w:rsidRPr="003C626F">
        <w:rPr>
          <w:rFonts w:ascii="Times New Roman" w:hAnsi="Times New Roman" w:cs="Times New Roman"/>
          <w:spacing w:val="-2"/>
          <w:sz w:val="20"/>
          <w:szCs w:val="20"/>
        </w:rPr>
        <w:t>,</w:t>
      </w:r>
      <w:r w:rsidRPr="003C626F">
        <w:rPr>
          <w:rFonts w:ascii="Times New Roman" w:hAnsi="Times New Roman" w:cs="Times New Roman"/>
          <w:sz w:val="20"/>
          <w:szCs w:val="20"/>
        </w:rPr>
        <w:tab/>
      </w:r>
      <w:r w:rsidRPr="003C626F">
        <w:rPr>
          <w:rFonts w:ascii="Times New Roman" w:hAnsi="Times New Roman" w:cs="Times New Roman"/>
          <w:spacing w:val="-2"/>
          <w:sz w:val="20"/>
          <w:szCs w:val="20"/>
        </w:rPr>
        <w:t xml:space="preserve">1684–1691. </w:t>
      </w:r>
      <w:r>
        <w:fldChar w:fldCharType="begin"/>
      </w:r>
      <w:r>
        <w:instrText>HYPERLINK "http://aaaipress.org/Papers/AAAI/2007/AAAI07-273.pdf" \h</w:instrText>
      </w:r>
      <w:r>
        <w:fldChar w:fldCharType="separate"/>
      </w:r>
      <w:r w:rsidRPr="003C626F">
        <w:rPr>
          <w:rFonts w:ascii="Times New Roman" w:hAnsi="Times New Roman" w:cs="Times New Roman"/>
          <w:spacing w:val="-2"/>
          <w:sz w:val="20"/>
          <w:szCs w:val="20"/>
        </w:rPr>
        <w:t>http://aaaipress.org/Papers/AAAI/2007/AAAI07-273.pdf</w:t>
      </w:r>
      <w:r>
        <w:fldChar w:fldCharType="end"/>
      </w:r>
    </w:p>
    <w:p w14:paraId="1B6DE270" w14:textId="77777777" w:rsidR="00A714D2" w:rsidRPr="003C626F" w:rsidRDefault="00A714D2" w:rsidP="00A714D2">
      <w:pPr>
        <w:spacing w:after="0" w:line="240" w:lineRule="auto"/>
        <w:ind w:left="1288" w:right="131" w:hanging="720"/>
        <w:rPr>
          <w:rFonts w:ascii="Times New Roman" w:hAnsi="Times New Roman" w:cs="Times New Roman"/>
          <w:sz w:val="20"/>
          <w:szCs w:val="20"/>
        </w:rPr>
      </w:pPr>
      <w:r w:rsidRPr="003C626F">
        <w:rPr>
          <w:rFonts w:ascii="Times New Roman" w:hAnsi="Times New Roman" w:cs="Times New Roman"/>
          <w:sz w:val="20"/>
          <w:szCs w:val="20"/>
        </w:rPr>
        <w:t xml:space="preserve">Chun, A. H. W. (2008). An AI Framework for the Automatic Assessment of e-Government Forms. </w:t>
      </w:r>
      <w:r w:rsidRPr="003C626F">
        <w:rPr>
          <w:rFonts w:ascii="Times New Roman" w:hAnsi="Times New Roman" w:cs="Times New Roman"/>
          <w:i/>
          <w:sz w:val="20"/>
          <w:szCs w:val="20"/>
        </w:rPr>
        <w:t>AI Magazine</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29</w:t>
      </w:r>
      <w:r w:rsidRPr="003C626F">
        <w:rPr>
          <w:rFonts w:ascii="Times New Roman" w:hAnsi="Times New Roman" w:cs="Times New Roman"/>
          <w:sz w:val="20"/>
          <w:szCs w:val="20"/>
        </w:rPr>
        <w:t>(1), 52–64. https://doi.org/10.1609/aimag.v29i1.2086</w:t>
      </w:r>
    </w:p>
    <w:p w14:paraId="533375F7" w14:textId="66D43437" w:rsidR="00A714D2" w:rsidRDefault="00A714D2" w:rsidP="00A714D2">
      <w:pPr>
        <w:spacing w:after="0" w:line="240" w:lineRule="auto"/>
        <w:ind w:left="1288" w:right="132" w:hanging="720"/>
        <w:rPr>
          <w:rFonts w:ascii="Times New Roman" w:hAnsi="Times New Roman" w:cs="Times New Roman"/>
          <w:spacing w:val="-2"/>
          <w:sz w:val="20"/>
          <w:szCs w:val="20"/>
        </w:rPr>
      </w:pPr>
      <w:r w:rsidRPr="003C626F">
        <w:rPr>
          <w:rFonts w:ascii="Times New Roman" w:hAnsi="Times New Roman" w:cs="Times New Roman"/>
          <w:sz w:val="20"/>
          <w:szCs w:val="20"/>
        </w:rPr>
        <w:t xml:space="preserve">Couture, V., Roy, M., Dez, E., Laperle, S., &amp; Bélisle-Pipon, J. (2023). Ethical Implications of Artificial Intelligence in Population Health and the Public’s Role in Its Governance: Perspectives From a Citizen and Expert Panel. </w:t>
      </w:r>
      <w:r w:rsidRPr="003C626F">
        <w:rPr>
          <w:rFonts w:ascii="Times New Roman" w:hAnsi="Times New Roman" w:cs="Times New Roman"/>
          <w:i/>
          <w:sz w:val="20"/>
          <w:szCs w:val="20"/>
        </w:rPr>
        <w:t>Journal of Medical Internet Research</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25</w:t>
      </w:r>
      <w:r w:rsidRPr="003C626F">
        <w:rPr>
          <w:rFonts w:ascii="Times New Roman" w:hAnsi="Times New Roman" w:cs="Times New Roman"/>
          <w:sz w:val="20"/>
          <w:szCs w:val="20"/>
        </w:rPr>
        <w:t xml:space="preserve">, e44357. </w:t>
      </w:r>
      <w:r>
        <w:fldChar w:fldCharType="begin"/>
      </w:r>
      <w:r>
        <w:instrText>HYPERLINK "https://doi.org/10.2196/44357"</w:instrText>
      </w:r>
      <w:r>
        <w:fldChar w:fldCharType="separate"/>
      </w:r>
      <w:r w:rsidRPr="00814788">
        <w:rPr>
          <w:rStyle w:val="Hyperlink"/>
          <w:rFonts w:ascii="Times New Roman" w:hAnsi="Times New Roman" w:cs="Times New Roman"/>
          <w:spacing w:val="-2"/>
          <w:sz w:val="20"/>
          <w:szCs w:val="20"/>
        </w:rPr>
        <w:t>https://doi.org/10.2196/44357</w:t>
      </w:r>
      <w:r>
        <w:fldChar w:fldCharType="end"/>
      </w:r>
    </w:p>
    <w:p w14:paraId="2285F5C2" w14:textId="77777777" w:rsidR="00A714D2" w:rsidRPr="003C626F" w:rsidRDefault="00A714D2" w:rsidP="00A714D2">
      <w:pPr>
        <w:spacing w:after="0" w:line="240" w:lineRule="auto"/>
        <w:ind w:left="1288" w:right="132" w:hanging="720"/>
        <w:rPr>
          <w:rFonts w:ascii="Times New Roman" w:hAnsi="Times New Roman" w:cs="Times New Roman"/>
          <w:sz w:val="20"/>
          <w:szCs w:val="20"/>
        </w:rPr>
      </w:pPr>
      <w:r w:rsidRPr="003C626F">
        <w:rPr>
          <w:rFonts w:ascii="Times New Roman" w:hAnsi="Times New Roman" w:cs="Times New Roman"/>
          <w:sz w:val="20"/>
          <w:szCs w:val="20"/>
        </w:rPr>
        <w:t xml:space="preserve">Deng, B. (2015). Machine ethics: The robot’s dilemma. </w:t>
      </w:r>
      <w:r w:rsidRPr="003C626F">
        <w:rPr>
          <w:rFonts w:ascii="Times New Roman" w:hAnsi="Times New Roman" w:cs="Times New Roman"/>
          <w:i/>
          <w:sz w:val="20"/>
          <w:szCs w:val="20"/>
        </w:rPr>
        <w:t>Nature</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523</w:t>
      </w:r>
      <w:r w:rsidRPr="003C626F">
        <w:rPr>
          <w:rFonts w:ascii="Times New Roman" w:hAnsi="Times New Roman" w:cs="Times New Roman"/>
          <w:sz w:val="20"/>
          <w:szCs w:val="20"/>
        </w:rPr>
        <w:t xml:space="preserve">(7558), 24–26. </w:t>
      </w:r>
      <w:r w:rsidRPr="003C626F">
        <w:rPr>
          <w:rFonts w:ascii="Times New Roman" w:hAnsi="Times New Roman" w:cs="Times New Roman"/>
          <w:spacing w:val="-2"/>
          <w:sz w:val="20"/>
          <w:szCs w:val="20"/>
        </w:rPr>
        <w:t>https://doi.org/10.1038/523024a</w:t>
      </w:r>
    </w:p>
    <w:p w14:paraId="0831E022" w14:textId="77777777" w:rsidR="00A714D2" w:rsidRPr="003C626F" w:rsidRDefault="00A714D2" w:rsidP="00A714D2">
      <w:pPr>
        <w:spacing w:after="0" w:line="240" w:lineRule="auto"/>
        <w:ind w:left="1288" w:right="135" w:hanging="720"/>
        <w:rPr>
          <w:rFonts w:ascii="Times New Roman" w:hAnsi="Times New Roman" w:cs="Times New Roman"/>
          <w:sz w:val="20"/>
          <w:szCs w:val="20"/>
        </w:rPr>
      </w:pPr>
      <w:r w:rsidRPr="003C626F">
        <w:rPr>
          <w:rFonts w:ascii="Times New Roman" w:hAnsi="Times New Roman" w:cs="Times New Roman"/>
          <w:sz w:val="20"/>
          <w:szCs w:val="20"/>
        </w:rPr>
        <w:t xml:space="preserve">Ditto, P. H., &amp; Liu, B. (2011). Deontological dissonance and the consequentialist crutch. In </w:t>
      </w:r>
      <w:r w:rsidRPr="003C626F">
        <w:rPr>
          <w:rFonts w:ascii="Times New Roman" w:hAnsi="Times New Roman" w:cs="Times New Roman"/>
          <w:i/>
          <w:sz w:val="20"/>
          <w:szCs w:val="20"/>
        </w:rPr>
        <w:t xml:space="preserve">American Psychological Association eBooks </w:t>
      </w:r>
      <w:r w:rsidRPr="003C626F">
        <w:rPr>
          <w:rFonts w:ascii="Times New Roman" w:hAnsi="Times New Roman" w:cs="Times New Roman"/>
          <w:sz w:val="20"/>
          <w:szCs w:val="20"/>
        </w:rPr>
        <w:t>(pp. 51–70). https://doi.org/10.1037/13091-003</w:t>
      </w:r>
    </w:p>
    <w:p w14:paraId="7C7024DB" w14:textId="77777777" w:rsidR="00A714D2" w:rsidRPr="003C626F" w:rsidRDefault="00A714D2" w:rsidP="00A714D2">
      <w:pPr>
        <w:spacing w:after="0" w:line="240" w:lineRule="auto"/>
        <w:ind w:left="1288" w:right="136" w:hanging="720"/>
        <w:rPr>
          <w:rFonts w:ascii="Times New Roman" w:hAnsi="Times New Roman" w:cs="Times New Roman"/>
          <w:sz w:val="20"/>
          <w:szCs w:val="20"/>
        </w:rPr>
      </w:pPr>
      <w:r w:rsidRPr="003C626F">
        <w:rPr>
          <w:rFonts w:ascii="Times New Roman" w:hAnsi="Times New Roman" w:cs="Times New Roman"/>
          <w:sz w:val="20"/>
          <w:szCs w:val="20"/>
        </w:rPr>
        <w:t xml:space="preserve">Du, J., Xu, J., Song, H., &amp; Tao, C. (2017). Leveraging machine learning-based approaches to assess human papillomavirus vaccination sentiment trends with Twitter data. </w:t>
      </w:r>
      <w:r w:rsidRPr="003C626F">
        <w:rPr>
          <w:rFonts w:ascii="Times New Roman" w:hAnsi="Times New Roman" w:cs="Times New Roman"/>
          <w:i/>
          <w:sz w:val="20"/>
          <w:szCs w:val="20"/>
        </w:rPr>
        <w:t>BMC Medical Informatics and Decision Making</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17</w:t>
      </w:r>
      <w:r w:rsidRPr="003C626F">
        <w:rPr>
          <w:rFonts w:ascii="Times New Roman" w:hAnsi="Times New Roman" w:cs="Times New Roman"/>
          <w:sz w:val="20"/>
          <w:szCs w:val="20"/>
        </w:rPr>
        <w:t>(S2). https://doi.org/10.1186/s12911-017-0469-6</w:t>
      </w:r>
    </w:p>
    <w:p w14:paraId="7542E1B6" w14:textId="77777777" w:rsidR="00A714D2" w:rsidRPr="003C626F" w:rsidRDefault="00A714D2" w:rsidP="00A714D2">
      <w:pPr>
        <w:spacing w:after="0" w:line="240" w:lineRule="auto"/>
        <w:ind w:left="568" w:right="1034"/>
        <w:rPr>
          <w:rFonts w:ascii="Times New Roman" w:hAnsi="Times New Roman" w:cs="Times New Roman"/>
          <w:sz w:val="20"/>
          <w:szCs w:val="20"/>
        </w:rPr>
      </w:pPr>
      <w:r w:rsidRPr="003C626F">
        <w:rPr>
          <w:rFonts w:ascii="Times New Roman" w:hAnsi="Times New Roman" w:cs="Times New Roman"/>
          <w:sz w:val="20"/>
          <w:szCs w:val="20"/>
        </w:rPr>
        <w:t>Dunn,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W.</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 xml:space="preserve">(2003). </w:t>
      </w:r>
      <w:r w:rsidRPr="003C626F">
        <w:rPr>
          <w:rFonts w:ascii="Times New Roman" w:hAnsi="Times New Roman" w:cs="Times New Roman"/>
          <w:i/>
          <w:sz w:val="20"/>
          <w:szCs w:val="20"/>
        </w:rPr>
        <w:t>Pengantar</w:t>
      </w:r>
      <w:r w:rsidRPr="003C626F">
        <w:rPr>
          <w:rFonts w:ascii="Times New Roman" w:hAnsi="Times New Roman" w:cs="Times New Roman"/>
          <w:i/>
          <w:spacing w:val="-3"/>
          <w:sz w:val="20"/>
          <w:szCs w:val="20"/>
        </w:rPr>
        <w:t xml:space="preserve"> </w:t>
      </w:r>
      <w:r w:rsidRPr="003C626F">
        <w:rPr>
          <w:rFonts w:ascii="Times New Roman" w:hAnsi="Times New Roman" w:cs="Times New Roman"/>
          <w:i/>
          <w:sz w:val="20"/>
          <w:szCs w:val="20"/>
        </w:rPr>
        <w:t>Analisis</w:t>
      </w:r>
      <w:r w:rsidRPr="003C626F">
        <w:rPr>
          <w:rFonts w:ascii="Times New Roman" w:hAnsi="Times New Roman" w:cs="Times New Roman"/>
          <w:i/>
          <w:spacing w:val="-1"/>
          <w:sz w:val="20"/>
          <w:szCs w:val="20"/>
        </w:rPr>
        <w:t xml:space="preserve"> </w:t>
      </w:r>
      <w:r w:rsidRPr="003C626F">
        <w:rPr>
          <w:rFonts w:ascii="Times New Roman" w:hAnsi="Times New Roman" w:cs="Times New Roman"/>
          <w:i/>
          <w:sz w:val="20"/>
          <w:szCs w:val="20"/>
        </w:rPr>
        <w:t>Kebijakan</w:t>
      </w:r>
      <w:r w:rsidRPr="003C626F">
        <w:rPr>
          <w:rFonts w:ascii="Times New Roman" w:hAnsi="Times New Roman" w:cs="Times New Roman"/>
          <w:i/>
          <w:spacing w:val="-1"/>
          <w:sz w:val="20"/>
          <w:szCs w:val="20"/>
        </w:rPr>
        <w:t xml:space="preserve"> </w:t>
      </w:r>
      <w:r w:rsidRPr="003C626F">
        <w:rPr>
          <w:rFonts w:ascii="Times New Roman" w:hAnsi="Times New Roman" w:cs="Times New Roman"/>
          <w:i/>
          <w:sz w:val="20"/>
          <w:szCs w:val="20"/>
        </w:rPr>
        <w:t>Publik</w:t>
      </w:r>
      <w:r w:rsidRPr="003C626F">
        <w:rPr>
          <w:rFonts w:ascii="Times New Roman" w:hAnsi="Times New Roman" w:cs="Times New Roman"/>
          <w:i/>
          <w:spacing w:val="-1"/>
          <w:sz w:val="20"/>
          <w:szCs w:val="20"/>
        </w:rPr>
        <w:t xml:space="preserve"> </w:t>
      </w:r>
      <w:r w:rsidRPr="003C626F">
        <w:rPr>
          <w:rFonts w:ascii="Times New Roman" w:hAnsi="Times New Roman" w:cs="Times New Roman"/>
          <w:sz w:val="20"/>
          <w:szCs w:val="20"/>
        </w:rPr>
        <w:t>(2nd</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ed.).</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Gadjah</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Mada</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University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 xml:space="preserve">Press. Dunn, W. N. (1981). </w:t>
      </w:r>
      <w:r w:rsidRPr="003C626F">
        <w:rPr>
          <w:rFonts w:ascii="Times New Roman" w:hAnsi="Times New Roman" w:cs="Times New Roman"/>
          <w:i/>
          <w:sz w:val="20"/>
          <w:szCs w:val="20"/>
        </w:rPr>
        <w:t>Public Policy Analysis: An Introduction</w:t>
      </w:r>
      <w:r w:rsidRPr="003C626F">
        <w:rPr>
          <w:rFonts w:ascii="Times New Roman" w:hAnsi="Times New Roman" w:cs="Times New Roman"/>
          <w:sz w:val="20"/>
          <w:szCs w:val="20"/>
        </w:rPr>
        <w:t>. Prentice Hall.</w:t>
      </w:r>
    </w:p>
    <w:p w14:paraId="21DA0293" w14:textId="77777777" w:rsidR="00A714D2" w:rsidRPr="003C626F" w:rsidRDefault="00A714D2" w:rsidP="00A714D2">
      <w:pPr>
        <w:tabs>
          <w:tab w:val="left" w:pos="1377"/>
          <w:tab w:val="left" w:pos="1956"/>
          <w:tab w:val="left" w:pos="2493"/>
          <w:tab w:val="left" w:pos="3384"/>
          <w:tab w:val="left" w:pos="4217"/>
          <w:tab w:val="left" w:pos="5040"/>
          <w:tab w:val="left" w:pos="6072"/>
          <w:tab w:val="left" w:pos="6639"/>
          <w:tab w:val="left" w:pos="7753"/>
        </w:tabs>
        <w:spacing w:after="0" w:line="240" w:lineRule="auto"/>
        <w:ind w:left="1288" w:right="155" w:hanging="720"/>
        <w:rPr>
          <w:rFonts w:ascii="Times New Roman" w:hAnsi="Times New Roman" w:cs="Times New Roman"/>
          <w:sz w:val="20"/>
          <w:szCs w:val="20"/>
        </w:rPr>
      </w:pPr>
      <w:r w:rsidRPr="003C626F">
        <w:rPr>
          <w:rFonts w:ascii="Times New Roman" w:hAnsi="Times New Roman" w:cs="Times New Roman"/>
          <w:spacing w:val="-2"/>
          <w:sz w:val="20"/>
          <w:szCs w:val="20"/>
        </w:rPr>
        <w:t>Dunn,</w:t>
      </w:r>
      <w:r w:rsidRPr="003C626F">
        <w:rPr>
          <w:rFonts w:ascii="Times New Roman" w:hAnsi="Times New Roman" w:cs="Times New Roman"/>
          <w:sz w:val="20"/>
          <w:szCs w:val="20"/>
        </w:rPr>
        <w:tab/>
      </w:r>
      <w:r w:rsidRPr="003C626F">
        <w:rPr>
          <w:rFonts w:ascii="Times New Roman" w:hAnsi="Times New Roman" w:cs="Times New Roman"/>
          <w:sz w:val="20"/>
          <w:szCs w:val="20"/>
        </w:rPr>
        <w:tab/>
      </w:r>
      <w:r w:rsidRPr="003C626F">
        <w:rPr>
          <w:rFonts w:ascii="Times New Roman" w:hAnsi="Times New Roman" w:cs="Times New Roman"/>
          <w:spacing w:val="-6"/>
          <w:sz w:val="20"/>
          <w:szCs w:val="20"/>
        </w:rPr>
        <w:t>W.</w:t>
      </w:r>
      <w:r w:rsidRPr="003C626F">
        <w:rPr>
          <w:rFonts w:ascii="Times New Roman" w:hAnsi="Times New Roman" w:cs="Times New Roman"/>
          <w:sz w:val="20"/>
          <w:szCs w:val="20"/>
        </w:rPr>
        <w:tab/>
      </w:r>
      <w:r w:rsidRPr="003C626F">
        <w:rPr>
          <w:rFonts w:ascii="Times New Roman" w:hAnsi="Times New Roman" w:cs="Times New Roman"/>
          <w:spacing w:val="-6"/>
          <w:sz w:val="20"/>
          <w:szCs w:val="20"/>
        </w:rPr>
        <w:t>N.</w:t>
      </w:r>
      <w:r w:rsidRPr="003C626F">
        <w:rPr>
          <w:rFonts w:ascii="Times New Roman" w:hAnsi="Times New Roman" w:cs="Times New Roman"/>
          <w:sz w:val="20"/>
          <w:szCs w:val="20"/>
        </w:rPr>
        <w:tab/>
      </w:r>
      <w:r w:rsidRPr="003C626F">
        <w:rPr>
          <w:rFonts w:ascii="Times New Roman" w:hAnsi="Times New Roman" w:cs="Times New Roman"/>
          <w:spacing w:val="-2"/>
          <w:sz w:val="20"/>
          <w:szCs w:val="20"/>
        </w:rPr>
        <w:t>(2017).</w:t>
      </w:r>
      <w:r w:rsidRPr="003C626F">
        <w:rPr>
          <w:rFonts w:ascii="Times New Roman" w:hAnsi="Times New Roman" w:cs="Times New Roman"/>
          <w:sz w:val="20"/>
          <w:szCs w:val="20"/>
        </w:rPr>
        <w:tab/>
      </w:r>
      <w:r w:rsidRPr="003C626F">
        <w:rPr>
          <w:rFonts w:ascii="Times New Roman" w:hAnsi="Times New Roman" w:cs="Times New Roman"/>
          <w:i/>
          <w:spacing w:val="-2"/>
          <w:sz w:val="20"/>
          <w:szCs w:val="20"/>
        </w:rPr>
        <w:t>Public</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Policy</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Analysis:</w:t>
      </w:r>
      <w:r w:rsidRPr="003C626F">
        <w:rPr>
          <w:rFonts w:ascii="Times New Roman" w:hAnsi="Times New Roman" w:cs="Times New Roman"/>
          <w:i/>
          <w:sz w:val="20"/>
          <w:szCs w:val="20"/>
        </w:rPr>
        <w:tab/>
      </w:r>
      <w:r w:rsidRPr="003C626F">
        <w:rPr>
          <w:rFonts w:ascii="Times New Roman" w:hAnsi="Times New Roman" w:cs="Times New Roman"/>
          <w:i/>
          <w:spacing w:val="-6"/>
          <w:sz w:val="20"/>
          <w:szCs w:val="20"/>
        </w:rPr>
        <w:t>An</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Integrated</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Approach</w:t>
      </w:r>
      <w:r w:rsidRPr="003C626F">
        <w:rPr>
          <w:rFonts w:ascii="Times New Roman" w:hAnsi="Times New Roman" w:cs="Times New Roman"/>
          <w:spacing w:val="-2"/>
          <w:sz w:val="20"/>
          <w:szCs w:val="20"/>
        </w:rPr>
        <w:t xml:space="preserve">. </w:t>
      </w:r>
      <w:r>
        <w:fldChar w:fldCharType="begin"/>
      </w:r>
      <w:r>
        <w:instrText>HYPERLINK "http://perpustakaan.litbang.kemkes.go.id/index.php?p=show_detail&amp;id=38644" \h</w:instrText>
      </w:r>
      <w:r>
        <w:fldChar w:fldCharType="separate"/>
      </w:r>
      <w:r w:rsidRPr="003C626F">
        <w:rPr>
          <w:rFonts w:ascii="Times New Roman" w:hAnsi="Times New Roman" w:cs="Times New Roman"/>
          <w:spacing w:val="-2"/>
          <w:sz w:val="20"/>
          <w:szCs w:val="20"/>
        </w:rPr>
        <w:t>http://perpustakaan.litbang.kemkes.go.id/index.php?p=show_detail&amp;id=38644</w:t>
      </w:r>
      <w:r>
        <w:fldChar w:fldCharType="end"/>
      </w:r>
    </w:p>
    <w:p w14:paraId="43A173D4" w14:textId="77777777" w:rsidR="00A714D2" w:rsidRPr="003C626F" w:rsidRDefault="00A714D2" w:rsidP="00A714D2">
      <w:pPr>
        <w:tabs>
          <w:tab w:val="left" w:pos="2232"/>
          <w:tab w:val="left" w:pos="3309"/>
          <w:tab w:val="left" w:pos="3912"/>
          <w:tab w:val="left" w:pos="4944"/>
          <w:tab w:val="left" w:pos="5885"/>
          <w:tab w:val="left" w:pos="6548"/>
          <w:tab w:val="left" w:pos="7889"/>
        </w:tabs>
        <w:spacing w:after="0" w:line="240" w:lineRule="auto"/>
        <w:ind w:left="1288" w:right="160" w:hanging="720"/>
        <w:rPr>
          <w:rFonts w:ascii="Times New Roman" w:hAnsi="Times New Roman" w:cs="Times New Roman"/>
          <w:sz w:val="20"/>
          <w:szCs w:val="20"/>
        </w:rPr>
      </w:pPr>
      <w:r w:rsidRPr="003C626F">
        <w:rPr>
          <w:rFonts w:ascii="Times New Roman" w:hAnsi="Times New Roman" w:cs="Times New Roman"/>
          <w:sz w:val="20"/>
          <w:szCs w:val="20"/>
        </w:rPr>
        <w:t xml:space="preserve">Eggers, W. D., Fishman, T., Deloitte Center for Government Insights, &amp; Kishnani, P. (n.d.). AI-augmented </w:t>
      </w:r>
      <w:r w:rsidRPr="003C626F">
        <w:rPr>
          <w:rFonts w:ascii="Times New Roman" w:hAnsi="Times New Roman" w:cs="Times New Roman"/>
          <w:spacing w:val="-2"/>
          <w:sz w:val="20"/>
          <w:szCs w:val="20"/>
        </w:rPr>
        <w:t>human</w:t>
      </w:r>
      <w:r w:rsidRPr="003C626F">
        <w:rPr>
          <w:rFonts w:ascii="Times New Roman" w:hAnsi="Times New Roman" w:cs="Times New Roman"/>
          <w:sz w:val="20"/>
          <w:szCs w:val="20"/>
        </w:rPr>
        <w:tab/>
      </w:r>
      <w:r w:rsidRPr="003C626F">
        <w:rPr>
          <w:rFonts w:ascii="Times New Roman" w:hAnsi="Times New Roman" w:cs="Times New Roman"/>
          <w:spacing w:val="-2"/>
          <w:sz w:val="20"/>
          <w:szCs w:val="20"/>
        </w:rPr>
        <w:t>services.</w:t>
      </w:r>
      <w:r w:rsidRPr="003C626F">
        <w:rPr>
          <w:rFonts w:ascii="Times New Roman" w:hAnsi="Times New Roman" w:cs="Times New Roman"/>
          <w:sz w:val="20"/>
          <w:szCs w:val="20"/>
        </w:rPr>
        <w:tab/>
      </w:r>
      <w:r w:rsidRPr="003C626F">
        <w:rPr>
          <w:rFonts w:ascii="Times New Roman" w:hAnsi="Times New Roman" w:cs="Times New Roman"/>
          <w:spacing w:val="-6"/>
          <w:sz w:val="20"/>
          <w:szCs w:val="20"/>
        </w:rPr>
        <w:t>In</w:t>
      </w:r>
      <w:r w:rsidRPr="003C626F">
        <w:rPr>
          <w:rFonts w:ascii="Times New Roman" w:hAnsi="Times New Roman" w:cs="Times New Roman"/>
          <w:sz w:val="20"/>
          <w:szCs w:val="20"/>
        </w:rPr>
        <w:tab/>
      </w:r>
      <w:r w:rsidRPr="003C626F">
        <w:rPr>
          <w:rFonts w:ascii="Times New Roman" w:hAnsi="Times New Roman" w:cs="Times New Roman"/>
          <w:i/>
          <w:spacing w:val="-2"/>
          <w:sz w:val="20"/>
          <w:szCs w:val="20"/>
        </w:rPr>
        <w:t>Deloitte</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Center</w:t>
      </w:r>
      <w:r w:rsidRPr="003C626F">
        <w:rPr>
          <w:rFonts w:ascii="Times New Roman" w:hAnsi="Times New Roman" w:cs="Times New Roman"/>
          <w:i/>
          <w:sz w:val="20"/>
          <w:szCs w:val="20"/>
        </w:rPr>
        <w:tab/>
      </w:r>
      <w:r w:rsidRPr="003C626F">
        <w:rPr>
          <w:rFonts w:ascii="Times New Roman" w:hAnsi="Times New Roman" w:cs="Times New Roman"/>
          <w:i/>
          <w:spacing w:val="-4"/>
          <w:sz w:val="20"/>
          <w:szCs w:val="20"/>
        </w:rPr>
        <w:t>for</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Government</w:t>
      </w:r>
      <w:r w:rsidRPr="003C626F">
        <w:rPr>
          <w:rFonts w:ascii="Times New Roman" w:hAnsi="Times New Roman" w:cs="Times New Roman"/>
          <w:i/>
          <w:sz w:val="20"/>
          <w:szCs w:val="20"/>
        </w:rPr>
        <w:tab/>
      </w:r>
      <w:r w:rsidRPr="003C626F">
        <w:rPr>
          <w:rFonts w:ascii="Times New Roman" w:hAnsi="Times New Roman" w:cs="Times New Roman"/>
          <w:i/>
          <w:spacing w:val="-2"/>
          <w:sz w:val="20"/>
          <w:szCs w:val="20"/>
        </w:rPr>
        <w:t>Insights</w:t>
      </w:r>
      <w:r w:rsidRPr="003C626F">
        <w:rPr>
          <w:rFonts w:ascii="Times New Roman" w:hAnsi="Times New Roman" w:cs="Times New Roman"/>
          <w:spacing w:val="-2"/>
          <w:sz w:val="20"/>
          <w:szCs w:val="20"/>
        </w:rPr>
        <w:t>. https://www2.deloitte.com/content/dam/insights/us/articles/4152_AI-human-services/4152_AI- human-services.pdf</w:t>
      </w:r>
    </w:p>
    <w:p w14:paraId="23E56F39" w14:textId="77777777" w:rsidR="00A714D2" w:rsidRPr="003C626F" w:rsidRDefault="00A714D2" w:rsidP="00A714D2">
      <w:pPr>
        <w:spacing w:after="0" w:line="240" w:lineRule="auto"/>
        <w:ind w:left="1288" w:right="132" w:hanging="720"/>
        <w:rPr>
          <w:rFonts w:ascii="Times New Roman" w:hAnsi="Times New Roman" w:cs="Times New Roman"/>
          <w:sz w:val="20"/>
          <w:szCs w:val="20"/>
        </w:rPr>
      </w:pPr>
      <w:r w:rsidRPr="003C626F">
        <w:rPr>
          <w:rFonts w:ascii="Times New Roman" w:hAnsi="Times New Roman" w:cs="Times New Roman"/>
          <w:sz w:val="20"/>
          <w:szCs w:val="20"/>
        </w:rPr>
        <w:t>Firman,</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F.,</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Sumatono,</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Muluk,</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K.,</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Setyowati,</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E.,</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Rahmawati,</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R.</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(2024).</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Enhancing</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Citizen</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 xml:space="preserve">Participation: The Key To Public Service Transparency. </w:t>
      </w:r>
      <w:r w:rsidRPr="003C626F">
        <w:rPr>
          <w:rFonts w:ascii="Times New Roman" w:hAnsi="Times New Roman" w:cs="Times New Roman"/>
          <w:i/>
          <w:sz w:val="20"/>
          <w:szCs w:val="20"/>
        </w:rPr>
        <w:t>Journal of Law and Sustainable Development</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12</w:t>
      </w:r>
      <w:r w:rsidRPr="003C626F">
        <w:rPr>
          <w:rFonts w:ascii="Times New Roman" w:hAnsi="Times New Roman" w:cs="Times New Roman"/>
          <w:sz w:val="20"/>
          <w:szCs w:val="20"/>
        </w:rPr>
        <w:t>(1), e2937. https://doi.org/10.55908/sdgs.v12i1.2937</w:t>
      </w:r>
    </w:p>
    <w:p w14:paraId="33E8A411" w14:textId="77777777" w:rsidR="00A714D2" w:rsidRPr="003C626F" w:rsidRDefault="00A714D2" w:rsidP="00A714D2">
      <w:pPr>
        <w:spacing w:after="0" w:line="240" w:lineRule="auto"/>
        <w:ind w:left="568"/>
        <w:rPr>
          <w:rFonts w:ascii="Times New Roman" w:hAnsi="Times New Roman" w:cs="Times New Roman"/>
          <w:sz w:val="20"/>
          <w:szCs w:val="20"/>
        </w:rPr>
      </w:pPr>
      <w:r w:rsidRPr="003C626F">
        <w:rPr>
          <w:rFonts w:ascii="Times New Roman" w:hAnsi="Times New Roman" w:cs="Times New Roman"/>
          <w:sz w:val="20"/>
          <w:szCs w:val="20"/>
        </w:rPr>
        <w:t>Hanson-DeFusco,</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J.</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(2022).</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William</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Newlin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Dunn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(1939–2022)</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truest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measure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an</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academic</w:t>
      </w:r>
      <w:r w:rsidRPr="003C626F">
        <w:rPr>
          <w:rFonts w:ascii="Times New Roman" w:hAnsi="Times New Roman" w:cs="Times New Roman"/>
          <w:spacing w:val="6"/>
          <w:sz w:val="20"/>
          <w:szCs w:val="20"/>
        </w:rPr>
        <w:t xml:space="preserve"> </w:t>
      </w:r>
      <w:r w:rsidRPr="003C626F">
        <w:rPr>
          <w:rFonts w:ascii="Times New Roman" w:hAnsi="Times New Roman" w:cs="Times New Roman"/>
          <w:spacing w:val="-2"/>
          <w:sz w:val="20"/>
          <w:szCs w:val="20"/>
        </w:rPr>
        <w:t>pillar.”</w:t>
      </w:r>
    </w:p>
    <w:p w14:paraId="7EEAE927" w14:textId="77777777" w:rsidR="00A714D2" w:rsidRPr="003C626F" w:rsidRDefault="00A714D2" w:rsidP="00A714D2">
      <w:pPr>
        <w:spacing w:after="0" w:line="240" w:lineRule="auto"/>
        <w:ind w:left="1288"/>
        <w:rPr>
          <w:rFonts w:ascii="Times New Roman" w:hAnsi="Times New Roman" w:cs="Times New Roman"/>
          <w:sz w:val="20"/>
          <w:szCs w:val="20"/>
        </w:rPr>
      </w:pPr>
      <w:r w:rsidRPr="003C626F">
        <w:rPr>
          <w:rFonts w:ascii="Times New Roman" w:hAnsi="Times New Roman" w:cs="Times New Roman"/>
          <w:i/>
          <w:sz w:val="20"/>
          <w:szCs w:val="20"/>
        </w:rPr>
        <w:t>Policy</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Sciences</w:t>
      </w:r>
      <w:r w:rsidRPr="003C626F">
        <w:rPr>
          <w:rFonts w:ascii="Times New Roman" w:hAnsi="Times New Roman" w:cs="Times New Roman"/>
          <w:sz w:val="20"/>
          <w:szCs w:val="20"/>
        </w:rPr>
        <w:t>,</w:t>
      </w:r>
      <w:r w:rsidRPr="003C626F">
        <w:rPr>
          <w:rFonts w:ascii="Times New Roman" w:hAnsi="Times New Roman" w:cs="Times New Roman"/>
          <w:spacing w:val="-8"/>
          <w:sz w:val="20"/>
          <w:szCs w:val="20"/>
        </w:rPr>
        <w:t xml:space="preserve"> </w:t>
      </w:r>
      <w:r w:rsidRPr="003C626F">
        <w:rPr>
          <w:rFonts w:ascii="Times New Roman" w:hAnsi="Times New Roman" w:cs="Times New Roman"/>
          <w:i/>
          <w:sz w:val="20"/>
          <w:szCs w:val="20"/>
        </w:rPr>
        <w:t>55</w:t>
      </w:r>
      <w:r w:rsidRPr="003C626F">
        <w:rPr>
          <w:rFonts w:ascii="Times New Roman" w:hAnsi="Times New Roman" w:cs="Times New Roman"/>
          <w:sz w:val="20"/>
          <w:szCs w:val="20"/>
        </w:rPr>
        <w:t>(3),</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393–397.</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https://doi.org/10.1007/s11077-022-09472-</w:t>
      </w:r>
      <w:r w:rsidRPr="003C626F">
        <w:rPr>
          <w:rFonts w:ascii="Times New Roman" w:hAnsi="Times New Roman" w:cs="Times New Roman"/>
          <w:spacing w:val="-10"/>
          <w:sz w:val="20"/>
          <w:szCs w:val="20"/>
        </w:rPr>
        <w:t>4</w:t>
      </w:r>
    </w:p>
    <w:p w14:paraId="14FF7A3A" w14:textId="77777777" w:rsidR="00A714D2" w:rsidRPr="003C626F" w:rsidRDefault="00A714D2" w:rsidP="00A714D2">
      <w:pPr>
        <w:spacing w:after="0" w:line="240" w:lineRule="auto"/>
        <w:ind w:left="1288" w:right="129" w:hanging="720"/>
        <w:rPr>
          <w:rFonts w:ascii="Times New Roman" w:hAnsi="Times New Roman" w:cs="Times New Roman"/>
          <w:sz w:val="20"/>
          <w:szCs w:val="20"/>
        </w:rPr>
      </w:pPr>
      <w:r w:rsidRPr="003C626F">
        <w:rPr>
          <w:rFonts w:ascii="Times New Roman" w:hAnsi="Times New Roman" w:cs="Times New Roman"/>
          <w:sz w:val="20"/>
          <w:szCs w:val="20"/>
        </w:rPr>
        <w:t>Katekar,</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V.,</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Cheruku,</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J.</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K.</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(2023).</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Value-creation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Through</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Application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Artificial</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Intelligence</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 xml:space="preserve">(AI) in COVID-19 Management: Policy Lessons from India. </w:t>
      </w:r>
      <w:r w:rsidRPr="003C626F">
        <w:rPr>
          <w:rFonts w:ascii="Times New Roman" w:hAnsi="Times New Roman" w:cs="Times New Roman"/>
          <w:i/>
          <w:sz w:val="20"/>
          <w:szCs w:val="20"/>
        </w:rPr>
        <w:t>Indian Journal of Public Administration</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70</w:t>
      </w:r>
      <w:r w:rsidRPr="003C626F">
        <w:rPr>
          <w:rFonts w:ascii="Times New Roman" w:hAnsi="Times New Roman" w:cs="Times New Roman"/>
          <w:sz w:val="20"/>
          <w:szCs w:val="20"/>
        </w:rPr>
        <w:t>(1), 63–81. https://doi.org/10.1177/00195561231204937</w:t>
      </w:r>
    </w:p>
    <w:p w14:paraId="2800BCB1" w14:textId="77777777" w:rsidR="00A714D2" w:rsidRPr="003C626F" w:rsidRDefault="00A714D2" w:rsidP="00A714D2">
      <w:pPr>
        <w:tabs>
          <w:tab w:val="left" w:pos="4644"/>
          <w:tab w:val="left" w:pos="8009"/>
        </w:tabs>
        <w:spacing w:after="0" w:line="240" w:lineRule="auto"/>
        <w:ind w:left="1288" w:right="133" w:hanging="720"/>
        <w:rPr>
          <w:rFonts w:ascii="Times New Roman" w:hAnsi="Times New Roman" w:cs="Times New Roman"/>
          <w:sz w:val="20"/>
          <w:szCs w:val="20"/>
        </w:rPr>
      </w:pPr>
      <w:r w:rsidRPr="003C626F">
        <w:rPr>
          <w:rFonts w:ascii="Times New Roman" w:hAnsi="Times New Roman" w:cs="Times New Roman"/>
          <w:sz w:val="20"/>
          <w:szCs w:val="20"/>
        </w:rPr>
        <w:t>Krausová,</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2"/>
          <w:sz w:val="20"/>
          <w:szCs w:val="20"/>
        </w:rPr>
        <w:t xml:space="preserve"> </w:t>
      </w:r>
      <w:r w:rsidRPr="003C626F">
        <w:rPr>
          <w:rFonts w:ascii="Times New Roman" w:hAnsi="Times New Roman" w:cs="Times New Roman"/>
          <w:sz w:val="20"/>
          <w:szCs w:val="20"/>
        </w:rPr>
        <w:t>(2017).</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Intersections</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Between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Law</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Artificial</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Intelligence.</w:t>
      </w:r>
      <w:r w:rsidRPr="003C626F">
        <w:rPr>
          <w:rFonts w:ascii="Times New Roman" w:hAnsi="Times New Roman" w:cs="Times New Roman"/>
          <w:spacing w:val="-9"/>
          <w:sz w:val="20"/>
          <w:szCs w:val="20"/>
        </w:rPr>
        <w:t xml:space="preserve"> </w:t>
      </w:r>
      <w:r w:rsidRPr="003C626F">
        <w:rPr>
          <w:rFonts w:ascii="Times New Roman" w:hAnsi="Times New Roman" w:cs="Times New Roman"/>
          <w:i/>
          <w:sz w:val="20"/>
          <w:szCs w:val="20"/>
        </w:rPr>
        <w:t>International</w:t>
      </w:r>
      <w:r w:rsidRPr="003C626F">
        <w:rPr>
          <w:rFonts w:ascii="Times New Roman" w:hAnsi="Times New Roman" w:cs="Times New Roman"/>
          <w:i/>
          <w:spacing w:val="-8"/>
          <w:sz w:val="20"/>
          <w:szCs w:val="20"/>
        </w:rPr>
        <w:t xml:space="preserve"> </w:t>
      </w:r>
      <w:r w:rsidRPr="003C626F">
        <w:rPr>
          <w:rFonts w:ascii="Times New Roman" w:hAnsi="Times New Roman" w:cs="Times New Roman"/>
          <w:i/>
          <w:sz w:val="20"/>
          <w:szCs w:val="20"/>
        </w:rPr>
        <w:t>Journal</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of</w:t>
      </w:r>
      <w:r w:rsidRPr="003C626F">
        <w:rPr>
          <w:rFonts w:ascii="Times New Roman" w:hAnsi="Times New Roman" w:cs="Times New Roman"/>
          <w:i/>
          <w:spacing w:val="-12"/>
          <w:sz w:val="20"/>
          <w:szCs w:val="20"/>
        </w:rPr>
        <w:t xml:space="preserve"> </w:t>
      </w:r>
      <w:r w:rsidRPr="003C626F">
        <w:rPr>
          <w:rFonts w:ascii="Times New Roman" w:hAnsi="Times New Roman" w:cs="Times New Roman"/>
          <w:i/>
          <w:sz w:val="20"/>
          <w:szCs w:val="20"/>
        </w:rPr>
        <w:t xml:space="preserve">Computer </w:t>
      </w:r>
      <w:r w:rsidRPr="003C626F">
        <w:rPr>
          <w:rFonts w:ascii="Times New Roman" w:hAnsi="Times New Roman" w:cs="Times New Roman"/>
          <w:i/>
          <w:spacing w:val="-2"/>
          <w:sz w:val="20"/>
          <w:szCs w:val="20"/>
        </w:rPr>
        <w:t>(IJC)</w:t>
      </w:r>
      <w:r w:rsidRPr="003C626F">
        <w:rPr>
          <w:rFonts w:ascii="Times New Roman" w:hAnsi="Times New Roman" w:cs="Times New Roman"/>
          <w:spacing w:val="-2"/>
          <w:sz w:val="20"/>
          <w:szCs w:val="20"/>
        </w:rPr>
        <w:t>,</w:t>
      </w:r>
      <w:r w:rsidRPr="003C626F">
        <w:rPr>
          <w:rFonts w:ascii="Times New Roman" w:hAnsi="Times New Roman" w:cs="Times New Roman"/>
          <w:sz w:val="20"/>
          <w:szCs w:val="20"/>
        </w:rPr>
        <w:tab/>
      </w:r>
      <w:r w:rsidRPr="003C626F">
        <w:rPr>
          <w:rFonts w:ascii="Times New Roman" w:hAnsi="Times New Roman" w:cs="Times New Roman"/>
          <w:i/>
          <w:spacing w:val="-2"/>
          <w:sz w:val="20"/>
          <w:szCs w:val="20"/>
        </w:rPr>
        <w:t>27</w:t>
      </w:r>
      <w:r w:rsidRPr="003C626F">
        <w:rPr>
          <w:rFonts w:ascii="Times New Roman" w:hAnsi="Times New Roman" w:cs="Times New Roman"/>
          <w:spacing w:val="-2"/>
          <w:sz w:val="20"/>
          <w:szCs w:val="20"/>
        </w:rPr>
        <w:t>(1),</w:t>
      </w:r>
      <w:r w:rsidRPr="003C626F">
        <w:rPr>
          <w:rFonts w:ascii="Times New Roman" w:hAnsi="Times New Roman" w:cs="Times New Roman"/>
          <w:sz w:val="20"/>
          <w:szCs w:val="20"/>
        </w:rPr>
        <w:tab/>
      </w:r>
      <w:r w:rsidRPr="003C626F">
        <w:rPr>
          <w:rFonts w:ascii="Times New Roman" w:hAnsi="Times New Roman" w:cs="Times New Roman"/>
          <w:spacing w:val="-2"/>
          <w:sz w:val="20"/>
          <w:szCs w:val="20"/>
        </w:rPr>
        <w:t>55–68.</w:t>
      </w:r>
    </w:p>
    <w:p w14:paraId="3F539FED" w14:textId="77777777" w:rsidR="00A714D2" w:rsidRPr="003C626F" w:rsidRDefault="00A714D2" w:rsidP="00A714D2">
      <w:pPr>
        <w:spacing w:after="0" w:line="240" w:lineRule="auto"/>
        <w:ind w:left="1288"/>
        <w:rPr>
          <w:rFonts w:ascii="Times New Roman" w:hAnsi="Times New Roman" w:cs="Times New Roman"/>
          <w:sz w:val="20"/>
          <w:szCs w:val="20"/>
        </w:rPr>
      </w:pPr>
      <w:r w:rsidRPr="003C626F">
        <w:rPr>
          <w:rFonts w:ascii="Times New Roman" w:hAnsi="Times New Roman" w:cs="Times New Roman"/>
          <w:spacing w:val="-2"/>
          <w:sz w:val="20"/>
          <w:szCs w:val="20"/>
        </w:rPr>
        <w:t>https://ijcjournal.org/index.php/InternationalJournalOfComputer/article/download/1071/464</w:t>
      </w:r>
    </w:p>
    <w:p w14:paraId="062B27D5" w14:textId="77777777" w:rsidR="00A714D2" w:rsidRPr="003C626F" w:rsidRDefault="00A714D2" w:rsidP="00A714D2">
      <w:pPr>
        <w:spacing w:after="0" w:line="240" w:lineRule="auto"/>
        <w:ind w:left="1288" w:hanging="720"/>
        <w:rPr>
          <w:rFonts w:ascii="Times New Roman" w:hAnsi="Times New Roman" w:cs="Times New Roman"/>
          <w:sz w:val="20"/>
          <w:szCs w:val="20"/>
        </w:rPr>
      </w:pPr>
      <w:r w:rsidRPr="003C626F">
        <w:rPr>
          <w:rFonts w:ascii="Times New Roman" w:hAnsi="Times New Roman" w:cs="Times New Roman"/>
          <w:sz w:val="20"/>
          <w:szCs w:val="20"/>
        </w:rPr>
        <w:t>Lin,</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P.,</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Abney,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K.,</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Bekey,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G.</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(2012).</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Robot</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ethics: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the</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ethical</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and</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social</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implications</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of</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robotics.</w:t>
      </w:r>
      <w:r w:rsidRPr="003C626F">
        <w:rPr>
          <w:rFonts w:ascii="Times New Roman" w:hAnsi="Times New Roman" w:cs="Times New Roman"/>
          <w:spacing w:val="-1"/>
          <w:sz w:val="20"/>
          <w:szCs w:val="20"/>
        </w:rPr>
        <w:t xml:space="preserve"> </w:t>
      </w:r>
      <w:r w:rsidRPr="003C626F">
        <w:rPr>
          <w:rFonts w:ascii="Times New Roman" w:hAnsi="Times New Roman" w:cs="Times New Roman"/>
          <w:i/>
          <w:sz w:val="20"/>
          <w:szCs w:val="20"/>
        </w:rPr>
        <w:t>Choice Reviews Online</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50</w:t>
      </w:r>
      <w:r w:rsidRPr="003C626F">
        <w:rPr>
          <w:rFonts w:ascii="Times New Roman" w:hAnsi="Times New Roman" w:cs="Times New Roman"/>
          <w:sz w:val="20"/>
          <w:szCs w:val="20"/>
        </w:rPr>
        <w:t>(02), 50–0844. https://doi.org/10.5860/choice.50-0844</w:t>
      </w:r>
    </w:p>
    <w:p w14:paraId="40A3DCF6" w14:textId="77777777" w:rsidR="00A714D2" w:rsidRPr="003C626F" w:rsidRDefault="00A714D2" w:rsidP="00A714D2">
      <w:pPr>
        <w:spacing w:after="0" w:line="240" w:lineRule="auto"/>
        <w:ind w:left="1288" w:hanging="720"/>
        <w:rPr>
          <w:rFonts w:ascii="Times New Roman" w:hAnsi="Times New Roman" w:cs="Times New Roman"/>
          <w:sz w:val="20"/>
          <w:szCs w:val="20"/>
        </w:rPr>
      </w:pPr>
      <w:r w:rsidRPr="003C626F">
        <w:rPr>
          <w:rFonts w:ascii="Times New Roman" w:hAnsi="Times New Roman" w:cs="Times New Roman"/>
          <w:sz w:val="20"/>
          <w:szCs w:val="20"/>
        </w:rPr>
        <w:t>Martino,</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M.</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(2023).</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Pemanfaatan</w:t>
      </w:r>
      <w:r w:rsidRPr="003C626F">
        <w:rPr>
          <w:rFonts w:ascii="Times New Roman" w:hAnsi="Times New Roman" w:cs="Times New Roman"/>
          <w:spacing w:val="20"/>
          <w:sz w:val="20"/>
          <w:szCs w:val="20"/>
        </w:rPr>
        <w:t xml:space="preserve"> </w:t>
      </w:r>
      <w:r w:rsidRPr="003C626F">
        <w:rPr>
          <w:rFonts w:ascii="Times New Roman" w:hAnsi="Times New Roman" w:cs="Times New Roman"/>
          <w:sz w:val="20"/>
          <w:szCs w:val="20"/>
        </w:rPr>
        <w:t>Kecerdasan</w:t>
      </w:r>
      <w:r w:rsidRPr="003C626F">
        <w:rPr>
          <w:rFonts w:ascii="Times New Roman" w:hAnsi="Times New Roman" w:cs="Times New Roman"/>
          <w:spacing w:val="20"/>
          <w:sz w:val="20"/>
          <w:szCs w:val="20"/>
        </w:rPr>
        <w:t xml:space="preserve"> </w:t>
      </w:r>
      <w:r w:rsidRPr="003C626F">
        <w:rPr>
          <w:rFonts w:ascii="Times New Roman" w:hAnsi="Times New Roman" w:cs="Times New Roman"/>
          <w:sz w:val="20"/>
          <w:szCs w:val="20"/>
        </w:rPr>
        <w:t>Buatan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dalam</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Siklus</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Kebijakan</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Publik:</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Antara</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Peluang</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 xml:space="preserve">dan Tantangan. </w:t>
      </w:r>
      <w:r w:rsidRPr="003C626F">
        <w:rPr>
          <w:rFonts w:ascii="Times New Roman" w:hAnsi="Times New Roman" w:cs="Times New Roman"/>
          <w:i/>
          <w:sz w:val="20"/>
          <w:szCs w:val="20"/>
        </w:rPr>
        <w:t>SEMINAR NASIONAL AMIKOM SURAKARTA (SEMNASA)</w:t>
      </w:r>
      <w:r w:rsidRPr="003C626F">
        <w:rPr>
          <w:rFonts w:ascii="Times New Roman" w:hAnsi="Times New Roman" w:cs="Times New Roman"/>
          <w:sz w:val="20"/>
          <w:szCs w:val="20"/>
        </w:rPr>
        <w:t>.</w:t>
      </w:r>
    </w:p>
    <w:p w14:paraId="6960A740" w14:textId="77777777" w:rsidR="00A714D2" w:rsidRPr="003C626F" w:rsidRDefault="00A714D2" w:rsidP="00A714D2">
      <w:pPr>
        <w:spacing w:after="0" w:line="240" w:lineRule="auto"/>
        <w:ind w:left="1288" w:right="131" w:hanging="720"/>
        <w:rPr>
          <w:rFonts w:ascii="Times New Roman" w:hAnsi="Times New Roman" w:cs="Times New Roman"/>
          <w:sz w:val="20"/>
          <w:szCs w:val="20"/>
        </w:rPr>
      </w:pPr>
      <w:r w:rsidRPr="003C626F">
        <w:rPr>
          <w:rFonts w:ascii="Times New Roman" w:hAnsi="Times New Roman" w:cs="Times New Roman"/>
          <w:sz w:val="20"/>
          <w:szCs w:val="20"/>
        </w:rPr>
        <w:t xml:space="preserve">McKendrick, J. (2024, February 5). </w:t>
      </w:r>
      <w:r w:rsidRPr="003C626F">
        <w:rPr>
          <w:rFonts w:ascii="Times New Roman" w:hAnsi="Times New Roman" w:cs="Times New Roman"/>
          <w:i/>
          <w:sz w:val="20"/>
          <w:szCs w:val="20"/>
        </w:rPr>
        <w:t>Generative AI has Real-time Potential, But is Only at the Starting Gate</w:t>
      </w:r>
      <w:r w:rsidRPr="003C626F">
        <w:rPr>
          <w:rFonts w:ascii="Times New Roman" w:hAnsi="Times New Roman" w:cs="Times New Roman"/>
          <w:sz w:val="20"/>
          <w:szCs w:val="20"/>
        </w:rPr>
        <w:t>. RTInsights. Retrieved December 7, 2024, from https:/</w:t>
      </w:r>
      <w:hyperlink r:id="rId21">
        <w:r w:rsidRPr="003C626F">
          <w:rPr>
            <w:rFonts w:ascii="Times New Roman" w:hAnsi="Times New Roman" w:cs="Times New Roman"/>
            <w:sz w:val="20"/>
            <w:szCs w:val="20"/>
          </w:rPr>
          <w:t>/www.rtinsights.com/generative-ai-has-real-</w:t>
        </w:r>
      </w:hyperlink>
      <w:r w:rsidRPr="003C626F">
        <w:rPr>
          <w:rFonts w:ascii="Times New Roman" w:hAnsi="Times New Roman" w:cs="Times New Roman"/>
          <w:sz w:val="20"/>
          <w:szCs w:val="20"/>
        </w:rPr>
        <w:t xml:space="preserve"> </w:t>
      </w:r>
      <w:r w:rsidRPr="003C626F">
        <w:rPr>
          <w:rFonts w:ascii="Times New Roman" w:hAnsi="Times New Roman" w:cs="Times New Roman"/>
          <w:spacing w:val="-2"/>
          <w:sz w:val="20"/>
          <w:szCs w:val="20"/>
        </w:rPr>
        <w:t>time-potential-but-is-only-at-the-starting-gate/</w:t>
      </w:r>
    </w:p>
    <w:p w14:paraId="3BFD32F1" w14:textId="77777777" w:rsidR="00A714D2" w:rsidRPr="003C626F" w:rsidRDefault="00A714D2" w:rsidP="00A714D2">
      <w:pPr>
        <w:spacing w:after="0" w:line="240" w:lineRule="auto"/>
        <w:ind w:left="1288" w:right="128" w:hanging="720"/>
        <w:rPr>
          <w:rFonts w:ascii="Times New Roman" w:hAnsi="Times New Roman" w:cs="Times New Roman"/>
          <w:sz w:val="20"/>
          <w:szCs w:val="20"/>
        </w:rPr>
      </w:pPr>
      <w:r w:rsidRPr="003C626F">
        <w:rPr>
          <w:rFonts w:ascii="Times New Roman" w:hAnsi="Times New Roman" w:cs="Times New Roman"/>
          <w:sz w:val="20"/>
          <w:szCs w:val="20"/>
        </w:rPr>
        <w:t xml:space="preserve">Mehr, H. &amp; Harvard Ash Center Technology &amp; Democracy Fellow. (2017). </w:t>
      </w:r>
      <w:r w:rsidRPr="003C626F">
        <w:rPr>
          <w:rFonts w:ascii="Times New Roman" w:hAnsi="Times New Roman" w:cs="Times New Roman"/>
          <w:i/>
          <w:sz w:val="20"/>
          <w:szCs w:val="20"/>
        </w:rPr>
        <w:t>Artificial Intelligence for Citizen Services and Government</w:t>
      </w:r>
      <w:r w:rsidRPr="003C626F">
        <w:rPr>
          <w:rFonts w:ascii="Times New Roman" w:hAnsi="Times New Roman" w:cs="Times New Roman"/>
          <w:sz w:val="20"/>
          <w:szCs w:val="20"/>
        </w:rPr>
        <w:t xml:space="preserve">. Retrieved December 7, 2024, from https://creatingfutureus.org/wp- </w:t>
      </w:r>
      <w:r w:rsidRPr="003C626F">
        <w:rPr>
          <w:rFonts w:ascii="Times New Roman" w:hAnsi="Times New Roman" w:cs="Times New Roman"/>
          <w:spacing w:val="-2"/>
          <w:sz w:val="20"/>
          <w:szCs w:val="20"/>
        </w:rPr>
        <w:t>content/uploads/2021/10/Mehr-2017-AIforGovCitizenServices.pdf</w:t>
      </w:r>
    </w:p>
    <w:p w14:paraId="7B982894" w14:textId="77777777" w:rsidR="00A714D2" w:rsidRPr="003C626F" w:rsidRDefault="00A714D2" w:rsidP="00A714D2">
      <w:pPr>
        <w:spacing w:after="0" w:line="240" w:lineRule="auto"/>
        <w:ind w:left="1288" w:right="132" w:hanging="720"/>
        <w:rPr>
          <w:rFonts w:ascii="Times New Roman" w:hAnsi="Times New Roman" w:cs="Times New Roman"/>
          <w:sz w:val="20"/>
          <w:szCs w:val="20"/>
        </w:rPr>
      </w:pPr>
      <w:r w:rsidRPr="003C626F">
        <w:rPr>
          <w:rFonts w:ascii="Times New Roman" w:hAnsi="Times New Roman" w:cs="Times New Roman"/>
          <w:sz w:val="20"/>
          <w:szCs w:val="20"/>
        </w:rPr>
        <w:t>Milosevic,</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Z., Chen,</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W.,</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Berry,</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 &amp;</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Rabhi,</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F.</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(2016).</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Real-Time</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Analytics.</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In</w:t>
      </w:r>
      <w:r w:rsidRPr="003C626F">
        <w:rPr>
          <w:rFonts w:ascii="Times New Roman" w:hAnsi="Times New Roman" w:cs="Times New Roman"/>
          <w:spacing w:val="-1"/>
          <w:sz w:val="20"/>
          <w:szCs w:val="20"/>
        </w:rPr>
        <w:t xml:space="preserve"> </w:t>
      </w:r>
      <w:r w:rsidRPr="003C626F">
        <w:rPr>
          <w:rFonts w:ascii="Times New Roman" w:hAnsi="Times New Roman" w:cs="Times New Roman"/>
          <w:i/>
          <w:sz w:val="20"/>
          <w:szCs w:val="20"/>
        </w:rPr>
        <w:t xml:space="preserve">Elsevier eBooks </w:t>
      </w:r>
      <w:r w:rsidRPr="003C626F">
        <w:rPr>
          <w:rFonts w:ascii="Times New Roman" w:hAnsi="Times New Roman" w:cs="Times New Roman"/>
          <w:sz w:val="20"/>
          <w:szCs w:val="20"/>
        </w:rPr>
        <w:t>(pp.</w:t>
      </w:r>
      <w:r w:rsidRPr="003C626F">
        <w:rPr>
          <w:rFonts w:ascii="Times New Roman" w:hAnsi="Times New Roman" w:cs="Times New Roman"/>
          <w:spacing w:val="-1"/>
          <w:sz w:val="20"/>
          <w:szCs w:val="20"/>
        </w:rPr>
        <w:t xml:space="preserve"> </w:t>
      </w:r>
      <w:r w:rsidRPr="003C626F">
        <w:rPr>
          <w:rFonts w:ascii="Times New Roman" w:hAnsi="Times New Roman" w:cs="Times New Roman"/>
          <w:sz w:val="20"/>
          <w:szCs w:val="20"/>
        </w:rPr>
        <w:t xml:space="preserve">39–61). </w:t>
      </w:r>
      <w:r w:rsidRPr="003C626F">
        <w:rPr>
          <w:rFonts w:ascii="Times New Roman" w:hAnsi="Times New Roman" w:cs="Times New Roman"/>
          <w:spacing w:val="-2"/>
          <w:sz w:val="20"/>
          <w:szCs w:val="20"/>
        </w:rPr>
        <w:t>https://doi.org/10.1016/b978-0-12-805394-2.00002-7</w:t>
      </w:r>
    </w:p>
    <w:p w14:paraId="1759BE96" w14:textId="77777777" w:rsidR="00A714D2" w:rsidRPr="003C626F" w:rsidRDefault="00A714D2" w:rsidP="00A714D2">
      <w:pPr>
        <w:spacing w:after="0" w:line="240" w:lineRule="auto"/>
        <w:ind w:left="1288" w:right="136" w:hanging="720"/>
        <w:rPr>
          <w:rFonts w:ascii="Times New Roman" w:hAnsi="Times New Roman" w:cs="Times New Roman"/>
          <w:sz w:val="20"/>
          <w:szCs w:val="20"/>
        </w:rPr>
      </w:pPr>
      <w:r w:rsidRPr="003C626F">
        <w:rPr>
          <w:rFonts w:ascii="Times New Roman" w:hAnsi="Times New Roman" w:cs="Times New Roman"/>
          <w:i/>
          <w:sz w:val="20"/>
          <w:szCs w:val="20"/>
        </w:rPr>
        <w:t>Real-Time Analytics: Definition, Examples &amp; Challenges | Splunk</w:t>
      </w:r>
      <w:r w:rsidRPr="003C626F">
        <w:rPr>
          <w:rFonts w:ascii="Times New Roman" w:hAnsi="Times New Roman" w:cs="Times New Roman"/>
          <w:sz w:val="20"/>
          <w:szCs w:val="20"/>
        </w:rPr>
        <w:t xml:space="preserve">. (n.d.). Splunk. </w:t>
      </w:r>
      <w:r w:rsidRPr="003C626F">
        <w:rPr>
          <w:rFonts w:ascii="Times New Roman" w:hAnsi="Times New Roman" w:cs="Times New Roman"/>
          <w:spacing w:val="-2"/>
          <w:sz w:val="20"/>
          <w:szCs w:val="20"/>
        </w:rPr>
        <w:t>https:</w:t>
      </w:r>
      <w:hyperlink r:id="rId22">
        <w:r w:rsidRPr="003C626F">
          <w:rPr>
            <w:rFonts w:ascii="Times New Roman" w:hAnsi="Times New Roman" w:cs="Times New Roman"/>
            <w:spacing w:val="-2"/>
            <w:sz w:val="20"/>
            <w:szCs w:val="20"/>
          </w:rPr>
          <w:t>//www.splunk.com/en_us/blog/learn/real-time-analytics.html</w:t>
        </w:r>
      </w:hyperlink>
    </w:p>
    <w:p w14:paraId="68F14E0A" w14:textId="77777777" w:rsidR="00A714D2" w:rsidRPr="003C626F" w:rsidRDefault="00A714D2" w:rsidP="00A714D2">
      <w:pPr>
        <w:spacing w:after="0" w:line="240" w:lineRule="auto"/>
        <w:ind w:left="1288" w:right="151" w:hanging="720"/>
        <w:rPr>
          <w:rFonts w:ascii="Times New Roman" w:hAnsi="Times New Roman" w:cs="Times New Roman"/>
          <w:sz w:val="20"/>
          <w:szCs w:val="20"/>
        </w:rPr>
      </w:pPr>
      <w:r w:rsidRPr="003C626F">
        <w:rPr>
          <w:rFonts w:ascii="Times New Roman" w:hAnsi="Times New Roman" w:cs="Times New Roman"/>
          <w:sz w:val="20"/>
          <w:szCs w:val="20"/>
        </w:rPr>
        <w:t xml:space="preserve">Rosa, A., Gudowsky, N., &amp; Warnke, P. (2018). But do they deliver? Participatory agenda setting on the test bed. </w:t>
      </w:r>
      <w:r w:rsidRPr="003C626F">
        <w:rPr>
          <w:rFonts w:ascii="Times New Roman" w:hAnsi="Times New Roman" w:cs="Times New Roman"/>
          <w:i/>
          <w:sz w:val="20"/>
          <w:szCs w:val="20"/>
        </w:rPr>
        <w:t>European Journal of Futures Research</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6</w:t>
      </w:r>
      <w:r w:rsidRPr="003C626F">
        <w:rPr>
          <w:rFonts w:ascii="Times New Roman" w:hAnsi="Times New Roman" w:cs="Times New Roman"/>
          <w:sz w:val="20"/>
          <w:szCs w:val="20"/>
        </w:rPr>
        <w:t>(1). https://doi.org/10.1186/s40309-018-0143-y</w:t>
      </w:r>
    </w:p>
    <w:p w14:paraId="0C4BD5C3" w14:textId="77777777" w:rsidR="00A714D2" w:rsidRPr="003C626F" w:rsidRDefault="00A714D2" w:rsidP="00A714D2">
      <w:pPr>
        <w:spacing w:after="0" w:line="240" w:lineRule="auto"/>
        <w:ind w:left="1288" w:right="133" w:hanging="720"/>
        <w:rPr>
          <w:rFonts w:ascii="Times New Roman" w:hAnsi="Times New Roman" w:cs="Times New Roman"/>
          <w:sz w:val="20"/>
          <w:szCs w:val="20"/>
        </w:rPr>
      </w:pPr>
      <w:r w:rsidRPr="003C626F">
        <w:rPr>
          <w:rFonts w:ascii="Times New Roman" w:hAnsi="Times New Roman" w:cs="Times New Roman"/>
          <w:sz w:val="20"/>
          <w:szCs w:val="20"/>
        </w:rPr>
        <w:t>Schroth,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F.,</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Glatte,</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H.,</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Kaiser,</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Heidingsfelder,</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M.</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(2020).</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Participatory agenda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setting</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as</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process</w:t>
      </w:r>
      <w:r w:rsidRPr="003C626F">
        <w:rPr>
          <w:rFonts w:ascii="Times New Roman" w:hAnsi="Times New Roman" w:cs="Times New Roman"/>
          <w:spacing w:val="-2"/>
          <w:sz w:val="20"/>
          <w:szCs w:val="20"/>
        </w:rPr>
        <w:t xml:space="preserve"> </w:t>
      </w:r>
      <w:r w:rsidRPr="003C626F">
        <w:rPr>
          <w:rFonts w:ascii="Times New Roman" w:hAnsi="Times New Roman" w:cs="Times New Roman"/>
          <w:sz w:val="20"/>
          <w:szCs w:val="20"/>
        </w:rPr>
        <w:t>—</w:t>
      </w:r>
      <w:r w:rsidRPr="003C626F">
        <w:rPr>
          <w:rFonts w:ascii="Times New Roman" w:hAnsi="Times New Roman" w:cs="Times New Roman"/>
          <w:spacing w:val="-4"/>
          <w:sz w:val="20"/>
          <w:szCs w:val="20"/>
        </w:rPr>
        <w:t xml:space="preserve"> </w:t>
      </w:r>
      <w:r w:rsidRPr="003C626F">
        <w:rPr>
          <w:rFonts w:ascii="Times New Roman" w:hAnsi="Times New Roman" w:cs="Times New Roman"/>
          <w:sz w:val="20"/>
          <w:szCs w:val="20"/>
        </w:rPr>
        <w:t xml:space="preserve">of people, ambassadors and translation: a case study of participatory agenda setting in rural areas. </w:t>
      </w:r>
      <w:r w:rsidRPr="003C626F">
        <w:rPr>
          <w:rFonts w:ascii="Times New Roman" w:hAnsi="Times New Roman" w:cs="Times New Roman"/>
          <w:i/>
          <w:sz w:val="20"/>
          <w:szCs w:val="20"/>
        </w:rPr>
        <w:t>European Journal of Futures Research</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8</w:t>
      </w:r>
      <w:r w:rsidRPr="003C626F">
        <w:rPr>
          <w:rFonts w:ascii="Times New Roman" w:hAnsi="Times New Roman" w:cs="Times New Roman"/>
          <w:sz w:val="20"/>
          <w:szCs w:val="20"/>
        </w:rPr>
        <w:t>(1). https://doi.org/10.1186/s40309-020-00165-w</w:t>
      </w:r>
    </w:p>
    <w:p w14:paraId="5454648B" w14:textId="77777777" w:rsidR="00A714D2" w:rsidRPr="003C626F" w:rsidRDefault="00A714D2" w:rsidP="00A714D2">
      <w:pPr>
        <w:spacing w:after="0" w:line="240" w:lineRule="auto"/>
        <w:ind w:left="1288" w:right="126" w:hanging="720"/>
        <w:rPr>
          <w:rFonts w:ascii="Times New Roman" w:hAnsi="Times New Roman" w:cs="Times New Roman"/>
          <w:sz w:val="20"/>
          <w:szCs w:val="20"/>
        </w:rPr>
      </w:pPr>
      <w:r w:rsidRPr="003C626F">
        <w:rPr>
          <w:rFonts w:ascii="Times New Roman" w:hAnsi="Times New Roman" w:cs="Times New Roman"/>
          <w:sz w:val="20"/>
          <w:szCs w:val="20"/>
        </w:rPr>
        <w:t>Shrivastava,</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(2023,</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July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6).</w:t>
      </w:r>
      <w:r w:rsidRPr="003C626F">
        <w:rPr>
          <w:rFonts w:ascii="Times New Roman" w:hAnsi="Times New Roman" w:cs="Times New Roman"/>
          <w:spacing w:val="-8"/>
          <w:sz w:val="20"/>
          <w:szCs w:val="20"/>
        </w:rPr>
        <w:t xml:space="preserve"> </w:t>
      </w:r>
      <w:r w:rsidRPr="003C626F">
        <w:rPr>
          <w:rFonts w:ascii="Times New Roman" w:hAnsi="Times New Roman" w:cs="Times New Roman"/>
          <w:i/>
          <w:sz w:val="20"/>
          <w:szCs w:val="20"/>
        </w:rPr>
        <w:t>Council</w:t>
      </w:r>
      <w:r w:rsidRPr="003C626F">
        <w:rPr>
          <w:rFonts w:ascii="Times New Roman" w:hAnsi="Times New Roman" w:cs="Times New Roman"/>
          <w:i/>
          <w:spacing w:val="-10"/>
          <w:sz w:val="20"/>
          <w:szCs w:val="20"/>
        </w:rPr>
        <w:t xml:space="preserve"> </w:t>
      </w:r>
      <w:r w:rsidRPr="003C626F">
        <w:rPr>
          <w:rFonts w:ascii="Times New Roman" w:hAnsi="Times New Roman" w:cs="Times New Roman"/>
          <w:i/>
          <w:sz w:val="20"/>
          <w:szCs w:val="20"/>
        </w:rPr>
        <w:t>Post:</w:t>
      </w:r>
      <w:r w:rsidRPr="003C626F">
        <w:rPr>
          <w:rFonts w:ascii="Times New Roman" w:hAnsi="Times New Roman" w:cs="Times New Roman"/>
          <w:i/>
          <w:spacing w:val="-11"/>
          <w:sz w:val="20"/>
          <w:szCs w:val="20"/>
        </w:rPr>
        <w:t xml:space="preserve"> </w:t>
      </w:r>
      <w:r w:rsidRPr="003C626F">
        <w:rPr>
          <w:rFonts w:ascii="Times New Roman" w:hAnsi="Times New Roman" w:cs="Times New Roman"/>
          <w:i/>
          <w:sz w:val="20"/>
          <w:szCs w:val="20"/>
        </w:rPr>
        <w:t>The</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role</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of</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Artificial</w:t>
      </w:r>
      <w:r w:rsidRPr="003C626F">
        <w:rPr>
          <w:rFonts w:ascii="Times New Roman" w:hAnsi="Times New Roman" w:cs="Times New Roman"/>
          <w:i/>
          <w:spacing w:val="-11"/>
          <w:sz w:val="20"/>
          <w:szCs w:val="20"/>
        </w:rPr>
        <w:t xml:space="preserve"> </w:t>
      </w:r>
      <w:r w:rsidRPr="003C626F">
        <w:rPr>
          <w:rFonts w:ascii="Times New Roman" w:hAnsi="Times New Roman" w:cs="Times New Roman"/>
          <w:i/>
          <w:sz w:val="20"/>
          <w:szCs w:val="20"/>
        </w:rPr>
        <w:t>intelligence</w:t>
      </w:r>
      <w:r w:rsidRPr="003C626F">
        <w:rPr>
          <w:rFonts w:ascii="Times New Roman" w:hAnsi="Times New Roman" w:cs="Times New Roman"/>
          <w:i/>
          <w:spacing w:val="-8"/>
          <w:sz w:val="20"/>
          <w:szCs w:val="20"/>
        </w:rPr>
        <w:t xml:space="preserve"> </w:t>
      </w:r>
      <w:r w:rsidRPr="003C626F">
        <w:rPr>
          <w:rFonts w:ascii="Times New Roman" w:hAnsi="Times New Roman" w:cs="Times New Roman"/>
          <w:i/>
          <w:sz w:val="20"/>
          <w:szCs w:val="20"/>
        </w:rPr>
        <w:t>in</w:t>
      </w:r>
      <w:r w:rsidRPr="003C626F">
        <w:rPr>
          <w:rFonts w:ascii="Times New Roman" w:hAnsi="Times New Roman" w:cs="Times New Roman"/>
          <w:i/>
          <w:spacing w:val="-8"/>
          <w:sz w:val="20"/>
          <w:szCs w:val="20"/>
        </w:rPr>
        <w:t xml:space="preserve"> </w:t>
      </w:r>
      <w:r w:rsidRPr="003C626F">
        <w:rPr>
          <w:rFonts w:ascii="Times New Roman" w:hAnsi="Times New Roman" w:cs="Times New Roman"/>
          <w:i/>
          <w:sz w:val="20"/>
          <w:szCs w:val="20"/>
        </w:rPr>
        <w:t>enhancing</w:t>
      </w:r>
      <w:r w:rsidRPr="003C626F">
        <w:rPr>
          <w:rFonts w:ascii="Times New Roman" w:hAnsi="Times New Roman" w:cs="Times New Roman"/>
          <w:i/>
          <w:spacing w:val="-7"/>
          <w:sz w:val="20"/>
          <w:szCs w:val="20"/>
        </w:rPr>
        <w:t xml:space="preserve"> </w:t>
      </w:r>
      <w:r w:rsidRPr="003C626F">
        <w:rPr>
          <w:rFonts w:ascii="Times New Roman" w:hAnsi="Times New Roman" w:cs="Times New Roman"/>
          <w:i/>
          <w:sz w:val="20"/>
          <w:szCs w:val="20"/>
        </w:rPr>
        <w:t>Public</w:t>
      </w:r>
      <w:r w:rsidRPr="003C626F">
        <w:rPr>
          <w:rFonts w:ascii="Times New Roman" w:hAnsi="Times New Roman" w:cs="Times New Roman"/>
          <w:i/>
          <w:spacing w:val="-9"/>
          <w:sz w:val="20"/>
          <w:szCs w:val="20"/>
        </w:rPr>
        <w:t xml:space="preserve"> </w:t>
      </w:r>
      <w:r w:rsidRPr="003C626F">
        <w:rPr>
          <w:rFonts w:ascii="Times New Roman" w:hAnsi="Times New Roman" w:cs="Times New Roman"/>
          <w:i/>
          <w:sz w:val="20"/>
          <w:szCs w:val="20"/>
        </w:rPr>
        <w:t>Policy</w:t>
      </w:r>
      <w:r w:rsidRPr="003C626F">
        <w:rPr>
          <w:rFonts w:ascii="Times New Roman" w:hAnsi="Times New Roman" w:cs="Times New Roman"/>
          <w:sz w:val="20"/>
          <w:szCs w:val="20"/>
        </w:rPr>
        <w:t>.</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 xml:space="preserve">Aim Research. Retrieved December 5, 2024, from https://aimresearch.co/council-posts/the-role-of- </w:t>
      </w:r>
      <w:r w:rsidRPr="003C626F">
        <w:rPr>
          <w:rFonts w:ascii="Times New Roman" w:hAnsi="Times New Roman" w:cs="Times New Roman"/>
          <w:spacing w:val="-2"/>
          <w:sz w:val="20"/>
          <w:szCs w:val="20"/>
        </w:rPr>
        <w:t>artificial-intelligence-in-enhancing-public-policy</w:t>
      </w:r>
    </w:p>
    <w:p w14:paraId="44A20602" w14:textId="77777777" w:rsidR="00A714D2" w:rsidRPr="003C626F" w:rsidRDefault="00A714D2" w:rsidP="00A714D2">
      <w:pPr>
        <w:spacing w:after="0" w:line="240" w:lineRule="auto"/>
        <w:ind w:left="1288" w:right="132" w:hanging="720"/>
        <w:rPr>
          <w:rFonts w:ascii="Times New Roman" w:hAnsi="Times New Roman" w:cs="Times New Roman"/>
          <w:sz w:val="20"/>
          <w:szCs w:val="20"/>
        </w:rPr>
      </w:pPr>
      <w:r w:rsidRPr="003C626F">
        <w:rPr>
          <w:rFonts w:ascii="Times New Roman" w:hAnsi="Times New Roman" w:cs="Times New Roman"/>
          <w:sz w:val="20"/>
          <w:szCs w:val="20"/>
        </w:rPr>
        <w:t>Sukhwal,</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C.,</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11"/>
          <w:sz w:val="20"/>
          <w:szCs w:val="20"/>
        </w:rPr>
        <w:t xml:space="preserve"> </w:t>
      </w:r>
      <w:r w:rsidRPr="003C626F">
        <w:rPr>
          <w:rFonts w:ascii="Times New Roman" w:hAnsi="Times New Roman" w:cs="Times New Roman"/>
          <w:sz w:val="20"/>
          <w:szCs w:val="20"/>
        </w:rPr>
        <w:t>Kankanhalli,</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A.</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(2022).</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Determining</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containment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policy</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impacts</w:t>
      </w:r>
      <w:r w:rsidRPr="003C626F">
        <w:rPr>
          <w:rFonts w:ascii="Times New Roman" w:hAnsi="Times New Roman" w:cs="Times New Roman"/>
          <w:spacing w:val="-7"/>
          <w:sz w:val="20"/>
          <w:szCs w:val="20"/>
        </w:rPr>
        <w:t xml:space="preserve"> </w:t>
      </w:r>
      <w:r w:rsidRPr="003C626F">
        <w:rPr>
          <w:rFonts w:ascii="Times New Roman" w:hAnsi="Times New Roman" w:cs="Times New Roman"/>
          <w:sz w:val="20"/>
          <w:szCs w:val="20"/>
        </w:rPr>
        <w:t>on</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public</w:t>
      </w:r>
      <w:r w:rsidRPr="003C626F">
        <w:rPr>
          <w:rFonts w:ascii="Times New Roman" w:hAnsi="Times New Roman" w:cs="Times New Roman"/>
          <w:spacing w:val="-10"/>
          <w:sz w:val="20"/>
          <w:szCs w:val="20"/>
        </w:rPr>
        <w:t xml:space="preserve"> </w:t>
      </w:r>
      <w:r w:rsidRPr="003C626F">
        <w:rPr>
          <w:rFonts w:ascii="Times New Roman" w:hAnsi="Times New Roman" w:cs="Times New Roman"/>
          <w:sz w:val="20"/>
          <w:szCs w:val="20"/>
        </w:rPr>
        <w:t>sentiment</w:t>
      </w:r>
      <w:r w:rsidRPr="003C626F">
        <w:rPr>
          <w:rFonts w:ascii="Times New Roman" w:hAnsi="Times New Roman" w:cs="Times New Roman"/>
          <w:spacing w:val="-9"/>
          <w:sz w:val="20"/>
          <w:szCs w:val="20"/>
        </w:rPr>
        <w:t xml:space="preserve"> </w:t>
      </w:r>
      <w:r w:rsidRPr="003C626F">
        <w:rPr>
          <w:rFonts w:ascii="Times New Roman" w:hAnsi="Times New Roman" w:cs="Times New Roman"/>
          <w:sz w:val="20"/>
          <w:szCs w:val="20"/>
        </w:rPr>
        <w:t xml:space="preserve">during the pandemic using social media data. </w:t>
      </w:r>
      <w:r w:rsidRPr="003C626F">
        <w:rPr>
          <w:rFonts w:ascii="Times New Roman" w:hAnsi="Times New Roman" w:cs="Times New Roman"/>
          <w:i/>
          <w:sz w:val="20"/>
          <w:szCs w:val="20"/>
        </w:rPr>
        <w:t>Proceedings of the National Academy of Sciences</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119</w:t>
      </w:r>
      <w:r w:rsidRPr="003C626F">
        <w:rPr>
          <w:rFonts w:ascii="Times New Roman" w:hAnsi="Times New Roman" w:cs="Times New Roman"/>
          <w:sz w:val="20"/>
          <w:szCs w:val="20"/>
        </w:rPr>
        <w:t xml:space="preserve">(19). </w:t>
      </w:r>
      <w:r w:rsidRPr="003C626F">
        <w:rPr>
          <w:rFonts w:ascii="Times New Roman" w:hAnsi="Times New Roman" w:cs="Times New Roman"/>
          <w:spacing w:val="-2"/>
          <w:sz w:val="20"/>
          <w:szCs w:val="20"/>
        </w:rPr>
        <w:t>https://doi.org/10.1073/pnas.2117292119</w:t>
      </w:r>
    </w:p>
    <w:p w14:paraId="16CD4894" w14:textId="77777777" w:rsidR="00A714D2" w:rsidRPr="003C626F" w:rsidRDefault="00A714D2" w:rsidP="00A714D2">
      <w:pPr>
        <w:spacing w:after="0" w:line="240" w:lineRule="auto"/>
        <w:ind w:left="1288" w:right="134" w:hanging="720"/>
        <w:rPr>
          <w:rFonts w:ascii="Times New Roman" w:hAnsi="Times New Roman" w:cs="Times New Roman"/>
          <w:sz w:val="20"/>
          <w:szCs w:val="20"/>
        </w:rPr>
      </w:pPr>
      <w:r w:rsidRPr="003C626F">
        <w:rPr>
          <w:rFonts w:ascii="Times New Roman" w:hAnsi="Times New Roman" w:cs="Times New Roman"/>
          <w:sz w:val="20"/>
          <w:szCs w:val="20"/>
        </w:rPr>
        <w:t xml:space="preserve">Sun, T. Q., &amp; Medaglia, R. (2018). Mapping the challenges of Artificial Intelligence in the public sector: Evidence from public healthcare. </w:t>
      </w:r>
      <w:r w:rsidRPr="003C626F">
        <w:rPr>
          <w:rFonts w:ascii="Times New Roman" w:hAnsi="Times New Roman" w:cs="Times New Roman"/>
          <w:i/>
          <w:sz w:val="20"/>
          <w:szCs w:val="20"/>
        </w:rPr>
        <w:t>Government Information Quarterly</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36</w:t>
      </w:r>
      <w:r w:rsidRPr="003C626F">
        <w:rPr>
          <w:rFonts w:ascii="Times New Roman" w:hAnsi="Times New Roman" w:cs="Times New Roman"/>
          <w:sz w:val="20"/>
          <w:szCs w:val="20"/>
        </w:rPr>
        <w:t xml:space="preserve">(2), 368–383. </w:t>
      </w:r>
      <w:r w:rsidRPr="003C626F">
        <w:rPr>
          <w:rFonts w:ascii="Times New Roman" w:hAnsi="Times New Roman" w:cs="Times New Roman"/>
          <w:spacing w:val="-2"/>
          <w:sz w:val="20"/>
          <w:szCs w:val="20"/>
        </w:rPr>
        <w:t>https://doi.org/10.1016/j.giq.2018.09.008</w:t>
      </w:r>
    </w:p>
    <w:p w14:paraId="1965746F" w14:textId="7C219864" w:rsidR="00A714D2" w:rsidRDefault="00A714D2" w:rsidP="00A714D2">
      <w:pPr>
        <w:spacing w:after="0" w:line="240" w:lineRule="auto"/>
        <w:ind w:left="1288" w:right="132" w:hanging="720"/>
        <w:rPr>
          <w:rFonts w:ascii="Times New Roman" w:hAnsi="Times New Roman" w:cs="Times New Roman"/>
          <w:sz w:val="20"/>
          <w:szCs w:val="20"/>
        </w:rPr>
      </w:pPr>
      <w:r w:rsidRPr="003C626F">
        <w:rPr>
          <w:rFonts w:ascii="Times New Roman" w:hAnsi="Times New Roman" w:cs="Times New Roman"/>
          <w:i/>
          <w:sz w:val="20"/>
          <w:szCs w:val="20"/>
        </w:rPr>
        <w:t>The</w:t>
      </w:r>
      <w:r w:rsidRPr="003C626F">
        <w:rPr>
          <w:rFonts w:ascii="Times New Roman" w:hAnsi="Times New Roman" w:cs="Times New Roman"/>
          <w:i/>
          <w:spacing w:val="-7"/>
          <w:sz w:val="20"/>
          <w:szCs w:val="20"/>
        </w:rPr>
        <w:t xml:space="preserve"> </w:t>
      </w:r>
      <w:r w:rsidRPr="003C626F">
        <w:rPr>
          <w:rFonts w:ascii="Times New Roman" w:hAnsi="Times New Roman" w:cs="Times New Roman"/>
          <w:i/>
          <w:sz w:val="20"/>
          <w:szCs w:val="20"/>
        </w:rPr>
        <w:t>Path</w:t>
      </w:r>
      <w:r w:rsidRPr="003C626F">
        <w:rPr>
          <w:rFonts w:ascii="Times New Roman" w:hAnsi="Times New Roman" w:cs="Times New Roman"/>
          <w:i/>
          <w:spacing w:val="-4"/>
          <w:sz w:val="20"/>
          <w:szCs w:val="20"/>
        </w:rPr>
        <w:t xml:space="preserve"> </w:t>
      </w:r>
      <w:r w:rsidRPr="003C626F">
        <w:rPr>
          <w:rFonts w:ascii="Times New Roman" w:hAnsi="Times New Roman" w:cs="Times New Roman"/>
          <w:i/>
          <w:sz w:val="20"/>
          <w:szCs w:val="20"/>
        </w:rPr>
        <w:t>to</w:t>
      </w:r>
      <w:r w:rsidRPr="003C626F">
        <w:rPr>
          <w:rFonts w:ascii="Times New Roman" w:hAnsi="Times New Roman" w:cs="Times New Roman"/>
          <w:i/>
          <w:spacing w:val="-3"/>
          <w:sz w:val="20"/>
          <w:szCs w:val="20"/>
        </w:rPr>
        <w:t xml:space="preserve"> </w:t>
      </w:r>
      <w:r w:rsidRPr="003C626F">
        <w:rPr>
          <w:rFonts w:ascii="Times New Roman" w:hAnsi="Times New Roman" w:cs="Times New Roman"/>
          <w:i/>
          <w:sz w:val="20"/>
          <w:szCs w:val="20"/>
        </w:rPr>
        <w:t>Becoming</w:t>
      </w:r>
      <w:r w:rsidRPr="003C626F">
        <w:rPr>
          <w:rFonts w:ascii="Times New Roman" w:hAnsi="Times New Roman" w:cs="Times New Roman"/>
          <w:i/>
          <w:spacing w:val="-5"/>
          <w:sz w:val="20"/>
          <w:szCs w:val="20"/>
        </w:rPr>
        <w:t xml:space="preserve"> </w:t>
      </w:r>
      <w:r w:rsidRPr="003C626F">
        <w:rPr>
          <w:rFonts w:ascii="Times New Roman" w:hAnsi="Times New Roman" w:cs="Times New Roman"/>
          <w:i/>
          <w:sz w:val="20"/>
          <w:szCs w:val="20"/>
        </w:rPr>
        <w:t>a</w:t>
      </w:r>
      <w:r w:rsidRPr="003C626F">
        <w:rPr>
          <w:rFonts w:ascii="Times New Roman" w:hAnsi="Times New Roman" w:cs="Times New Roman"/>
          <w:i/>
          <w:spacing w:val="-1"/>
          <w:sz w:val="20"/>
          <w:szCs w:val="20"/>
        </w:rPr>
        <w:t xml:space="preserve"> </w:t>
      </w:r>
      <w:r w:rsidRPr="003C626F">
        <w:rPr>
          <w:rFonts w:ascii="Times New Roman" w:hAnsi="Times New Roman" w:cs="Times New Roman"/>
          <w:i/>
          <w:sz w:val="20"/>
          <w:szCs w:val="20"/>
        </w:rPr>
        <w:t>Data-Driven</w:t>
      </w:r>
      <w:r w:rsidRPr="003C626F">
        <w:rPr>
          <w:rFonts w:ascii="Times New Roman" w:hAnsi="Times New Roman" w:cs="Times New Roman"/>
          <w:i/>
          <w:spacing w:val="-1"/>
          <w:sz w:val="20"/>
          <w:szCs w:val="20"/>
        </w:rPr>
        <w:t xml:space="preserve"> </w:t>
      </w:r>
      <w:r w:rsidRPr="003C626F">
        <w:rPr>
          <w:rFonts w:ascii="Times New Roman" w:hAnsi="Times New Roman" w:cs="Times New Roman"/>
          <w:i/>
          <w:sz w:val="20"/>
          <w:szCs w:val="20"/>
        </w:rPr>
        <w:t>Public</w:t>
      </w:r>
      <w:r w:rsidRPr="003C626F">
        <w:rPr>
          <w:rFonts w:ascii="Times New Roman" w:hAnsi="Times New Roman" w:cs="Times New Roman"/>
          <w:i/>
          <w:spacing w:val="-5"/>
          <w:sz w:val="20"/>
          <w:szCs w:val="20"/>
        </w:rPr>
        <w:t xml:space="preserve"> </w:t>
      </w:r>
      <w:r w:rsidRPr="003C626F">
        <w:rPr>
          <w:rFonts w:ascii="Times New Roman" w:hAnsi="Times New Roman" w:cs="Times New Roman"/>
          <w:i/>
          <w:sz w:val="20"/>
          <w:szCs w:val="20"/>
        </w:rPr>
        <w:t>Sector</w:t>
      </w:r>
      <w:r w:rsidRPr="003C626F">
        <w:rPr>
          <w:rFonts w:ascii="Times New Roman" w:hAnsi="Times New Roman" w:cs="Times New Roman"/>
          <w:sz w:val="20"/>
          <w:szCs w:val="20"/>
        </w:rPr>
        <w:t>.</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(2019).</w:t>
      </w:r>
      <w:r w:rsidRPr="003C626F">
        <w:rPr>
          <w:rFonts w:ascii="Times New Roman" w:hAnsi="Times New Roman" w:cs="Times New Roman"/>
          <w:spacing w:val="-6"/>
          <w:sz w:val="20"/>
          <w:szCs w:val="20"/>
        </w:rPr>
        <w:t xml:space="preserve"> </w:t>
      </w:r>
      <w:r>
        <w:fldChar w:fldCharType="begin"/>
      </w:r>
      <w:r>
        <w:instrText>HYPERLINK "https://doi.org/10.1787/059814a7-en"</w:instrText>
      </w:r>
      <w:r>
        <w:fldChar w:fldCharType="separate"/>
      </w:r>
      <w:r w:rsidRPr="00814788">
        <w:rPr>
          <w:rStyle w:val="Hyperlink"/>
          <w:rFonts w:ascii="Times New Roman" w:hAnsi="Times New Roman" w:cs="Times New Roman"/>
          <w:sz w:val="20"/>
          <w:szCs w:val="20"/>
        </w:rPr>
        <w:t>https://doi.org/10.1787/059814a7-</w:t>
      </w:r>
      <w:r w:rsidRPr="00814788">
        <w:rPr>
          <w:rStyle w:val="Hyperlink"/>
          <w:rFonts w:ascii="Times New Roman" w:hAnsi="Times New Roman" w:cs="Times New Roman"/>
          <w:spacing w:val="-5"/>
          <w:sz w:val="20"/>
          <w:szCs w:val="20"/>
        </w:rPr>
        <w:t>en</w:t>
      </w:r>
      <w:r>
        <w:fldChar w:fldCharType="end"/>
      </w:r>
    </w:p>
    <w:p w14:paraId="189C0710" w14:textId="77777777" w:rsidR="00A714D2" w:rsidRPr="003C626F" w:rsidRDefault="00A714D2" w:rsidP="00A714D2">
      <w:pPr>
        <w:spacing w:after="0" w:line="240" w:lineRule="auto"/>
        <w:ind w:left="1288" w:right="133" w:hanging="720"/>
        <w:rPr>
          <w:rFonts w:ascii="Times New Roman" w:hAnsi="Times New Roman" w:cs="Times New Roman"/>
          <w:sz w:val="20"/>
          <w:szCs w:val="20"/>
        </w:rPr>
      </w:pPr>
      <w:r w:rsidRPr="003C626F">
        <w:rPr>
          <w:rFonts w:ascii="Times New Roman" w:hAnsi="Times New Roman" w:cs="Times New Roman"/>
          <w:sz w:val="20"/>
          <w:szCs w:val="20"/>
        </w:rPr>
        <w:t xml:space="preserve">Tilahun, T., &amp; Sharma, D. P. (2015). Design and Development of E-Governance Model for Service Quality Enhancement. </w:t>
      </w:r>
      <w:r w:rsidRPr="003C626F">
        <w:rPr>
          <w:rFonts w:ascii="Times New Roman" w:hAnsi="Times New Roman" w:cs="Times New Roman"/>
          <w:i/>
          <w:sz w:val="20"/>
          <w:szCs w:val="20"/>
        </w:rPr>
        <w:t>Journal of Data Analysis and Information Processing</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03</w:t>
      </w:r>
      <w:r w:rsidRPr="003C626F">
        <w:rPr>
          <w:rFonts w:ascii="Times New Roman" w:hAnsi="Times New Roman" w:cs="Times New Roman"/>
          <w:sz w:val="20"/>
          <w:szCs w:val="20"/>
        </w:rPr>
        <w:t xml:space="preserve">(03), 55–62. </w:t>
      </w:r>
      <w:r w:rsidRPr="003C626F">
        <w:rPr>
          <w:rFonts w:ascii="Times New Roman" w:hAnsi="Times New Roman" w:cs="Times New Roman"/>
          <w:spacing w:val="-2"/>
          <w:sz w:val="20"/>
          <w:szCs w:val="20"/>
        </w:rPr>
        <w:t>https://doi.org/10.4236/jdaip.2015.33007</w:t>
      </w:r>
    </w:p>
    <w:p w14:paraId="34C7BC44" w14:textId="77777777" w:rsidR="00A714D2" w:rsidRPr="003C626F" w:rsidRDefault="00A714D2" w:rsidP="00A714D2">
      <w:pPr>
        <w:spacing w:after="0" w:line="240" w:lineRule="auto"/>
        <w:ind w:left="1288" w:right="131" w:hanging="720"/>
        <w:rPr>
          <w:rFonts w:ascii="Times New Roman" w:hAnsi="Times New Roman" w:cs="Times New Roman"/>
          <w:sz w:val="20"/>
          <w:szCs w:val="20"/>
        </w:rPr>
      </w:pPr>
      <w:r w:rsidRPr="003C626F">
        <w:rPr>
          <w:rFonts w:ascii="Times New Roman" w:hAnsi="Times New Roman" w:cs="Times New Roman"/>
          <w:sz w:val="20"/>
          <w:szCs w:val="20"/>
        </w:rPr>
        <w:t xml:space="preserve">Wirtz, B. W., Weyerer, J. C., &amp; Geyer, C. (2018). Artificial Intelligence and the Public Sector—Applications and Challenges. </w:t>
      </w:r>
      <w:r w:rsidRPr="003C626F">
        <w:rPr>
          <w:rFonts w:ascii="Times New Roman" w:hAnsi="Times New Roman" w:cs="Times New Roman"/>
          <w:i/>
          <w:sz w:val="20"/>
          <w:szCs w:val="20"/>
        </w:rPr>
        <w:t>International Journal of Public Administration</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42</w:t>
      </w:r>
      <w:r w:rsidRPr="003C626F">
        <w:rPr>
          <w:rFonts w:ascii="Times New Roman" w:hAnsi="Times New Roman" w:cs="Times New Roman"/>
          <w:sz w:val="20"/>
          <w:szCs w:val="20"/>
        </w:rPr>
        <w:t xml:space="preserve">(7), 596–615. </w:t>
      </w:r>
      <w:r w:rsidRPr="003C626F">
        <w:rPr>
          <w:rFonts w:ascii="Times New Roman" w:hAnsi="Times New Roman" w:cs="Times New Roman"/>
          <w:spacing w:val="-2"/>
          <w:sz w:val="20"/>
          <w:szCs w:val="20"/>
        </w:rPr>
        <w:t>https://doi.org/10.1080/01900692.2018.1498103</w:t>
      </w:r>
    </w:p>
    <w:p w14:paraId="17905F13" w14:textId="6D8E532B" w:rsidR="00A714D2" w:rsidRDefault="00A714D2" w:rsidP="00A714D2">
      <w:pPr>
        <w:spacing w:after="0" w:line="240" w:lineRule="auto"/>
        <w:ind w:left="1288" w:right="132" w:hanging="720"/>
        <w:rPr>
          <w:rFonts w:ascii="Times New Roman" w:hAnsi="Times New Roman" w:cs="Times New Roman"/>
          <w:spacing w:val="-5"/>
          <w:sz w:val="20"/>
          <w:szCs w:val="20"/>
        </w:rPr>
      </w:pPr>
      <w:r w:rsidRPr="003C626F">
        <w:rPr>
          <w:rFonts w:ascii="Times New Roman" w:hAnsi="Times New Roman" w:cs="Times New Roman"/>
          <w:sz w:val="20"/>
          <w:szCs w:val="20"/>
        </w:rPr>
        <w:t>Zhu,</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Y.,</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Shi,</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R.,</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Yang,</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S.,</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Zhou,</w:t>
      </w:r>
      <w:r w:rsidRPr="003C626F">
        <w:rPr>
          <w:rFonts w:ascii="Times New Roman" w:hAnsi="Times New Roman" w:cs="Times New Roman"/>
          <w:spacing w:val="-8"/>
          <w:sz w:val="20"/>
          <w:szCs w:val="20"/>
        </w:rPr>
        <w:t xml:space="preserve"> </w:t>
      </w:r>
      <w:r w:rsidRPr="003C626F">
        <w:rPr>
          <w:rFonts w:ascii="Times New Roman" w:hAnsi="Times New Roman" w:cs="Times New Roman"/>
          <w:sz w:val="20"/>
          <w:szCs w:val="20"/>
        </w:rPr>
        <w:t>X.,</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&amp;</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Ma,</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R.</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(2024).</w:t>
      </w:r>
      <w:r w:rsidRPr="003C626F">
        <w:rPr>
          <w:rFonts w:ascii="Times New Roman" w:hAnsi="Times New Roman" w:cs="Times New Roman"/>
          <w:spacing w:val="-6"/>
          <w:sz w:val="20"/>
          <w:szCs w:val="20"/>
        </w:rPr>
        <w:t xml:space="preserve"> </w:t>
      </w:r>
      <w:r w:rsidRPr="003C626F">
        <w:rPr>
          <w:rFonts w:ascii="Times New Roman" w:hAnsi="Times New Roman" w:cs="Times New Roman"/>
          <w:sz w:val="20"/>
          <w:szCs w:val="20"/>
        </w:rPr>
        <w:t>Efficient</w:t>
      </w:r>
      <w:r w:rsidRPr="003C626F">
        <w:rPr>
          <w:rFonts w:ascii="Times New Roman" w:hAnsi="Times New Roman" w:cs="Times New Roman"/>
          <w:spacing w:val="-3"/>
          <w:sz w:val="20"/>
          <w:szCs w:val="20"/>
        </w:rPr>
        <w:t xml:space="preserve"> </w:t>
      </w:r>
      <w:r w:rsidRPr="003C626F">
        <w:rPr>
          <w:rFonts w:ascii="Times New Roman" w:hAnsi="Times New Roman" w:cs="Times New Roman"/>
          <w:sz w:val="20"/>
          <w:szCs w:val="20"/>
        </w:rPr>
        <w:t>while</w:t>
      </w:r>
      <w:r w:rsidRPr="003C626F">
        <w:rPr>
          <w:rFonts w:ascii="Times New Roman" w:hAnsi="Times New Roman" w:cs="Times New Roman"/>
          <w:spacing w:val="-5"/>
          <w:sz w:val="20"/>
          <w:szCs w:val="20"/>
        </w:rPr>
        <w:t xml:space="preserve"> </w:t>
      </w:r>
      <w:r w:rsidRPr="003C626F">
        <w:rPr>
          <w:rFonts w:ascii="Times New Roman" w:hAnsi="Times New Roman" w:cs="Times New Roman"/>
          <w:sz w:val="20"/>
          <w:szCs w:val="20"/>
        </w:rPr>
        <w:t>Risk-taking.</w:t>
      </w:r>
      <w:r w:rsidRPr="003C626F">
        <w:rPr>
          <w:rFonts w:ascii="Times New Roman" w:hAnsi="Times New Roman" w:cs="Times New Roman"/>
          <w:spacing w:val="-3"/>
          <w:sz w:val="20"/>
          <w:szCs w:val="20"/>
        </w:rPr>
        <w:t xml:space="preserve"> </w:t>
      </w:r>
      <w:r w:rsidRPr="003C626F">
        <w:rPr>
          <w:rFonts w:ascii="Times New Roman" w:hAnsi="Times New Roman" w:cs="Times New Roman"/>
          <w:i/>
          <w:sz w:val="20"/>
          <w:szCs w:val="20"/>
        </w:rPr>
        <w:t>Cambridge</w:t>
      </w:r>
      <w:r w:rsidRPr="003C626F">
        <w:rPr>
          <w:rFonts w:ascii="Times New Roman" w:hAnsi="Times New Roman" w:cs="Times New Roman"/>
          <w:i/>
          <w:spacing w:val="-7"/>
          <w:sz w:val="20"/>
          <w:szCs w:val="20"/>
        </w:rPr>
        <w:t xml:space="preserve"> </w:t>
      </w:r>
      <w:r w:rsidRPr="003C626F">
        <w:rPr>
          <w:rFonts w:ascii="Times New Roman" w:hAnsi="Times New Roman" w:cs="Times New Roman"/>
          <w:i/>
          <w:sz w:val="20"/>
          <w:szCs w:val="20"/>
        </w:rPr>
        <w:t>Explorations</w:t>
      </w:r>
      <w:r w:rsidRPr="003C626F">
        <w:rPr>
          <w:rFonts w:ascii="Times New Roman" w:hAnsi="Times New Roman" w:cs="Times New Roman"/>
          <w:i/>
          <w:spacing w:val="-4"/>
          <w:sz w:val="20"/>
          <w:szCs w:val="20"/>
        </w:rPr>
        <w:t xml:space="preserve"> </w:t>
      </w:r>
      <w:r w:rsidRPr="003C626F">
        <w:rPr>
          <w:rFonts w:ascii="Times New Roman" w:hAnsi="Times New Roman" w:cs="Times New Roman"/>
          <w:i/>
          <w:sz w:val="20"/>
          <w:szCs w:val="20"/>
        </w:rPr>
        <w:t>in Arts and Sciences</w:t>
      </w:r>
      <w:r w:rsidRPr="003C626F">
        <w:rPr>
          <w:rFonts w:ascii="Times New Roman" w:hAnsi="Times New Roman" w:cs="Times New Roman"/>
          <w:sz w:val="20"/>
          <w:szCs w:val="20"/>
        </w:rPr>
        <w:t xml:space="preserve">, </w:t>
      </w:r>
      <w:r w:rsidRPr="003C626F">
        <w:rPr>
          <w:rFonts w:ascii="Times New Roman" w:hAnsi="Times New Roman" w:cs="Times New Roman"/>
          <w:i/>
          <w:sz w:val="20"/>
          <w:szCs w:val="20"/>
        </w:rPr>
        <w:t>2</w:t>
      </w:r>
      <w:r w:rsidRPr="003C626F">
        <w:rPr>
          <w:rFonts w:ascii="Times New Roman" w:hAnsi="Times New Roman" w:cs="Times New Roman"/>
          <w:sz w:val="20"/>
          <w:szCs w:val="20"/>
        </w:rPr>
        <w:t>(1). https://doi.org/10.61603/ceas.v2i1.30</w:t>
      </w:r>
    </w:p>
    <w:p w14:paraId="221209FE" w14:textId="77777777" w:rsidR="00A714D2" w:rsidRPr="00A714D2" w:rsidRDefault="00A714D2" w:rsidP="00A714D2">
      <w:pPr>
        <w:spacing w:after="0" w:line="240" w:lineRule="auto"/>
        <w:ind w:left="1288" w:right="132" w:hanging="720"/>
        <w:rPr>
          <w:rFonts w:ascii="Times New Roman" w:hAnsi="Times New Roman" w:cs="Times New Roman"/>
          <w:spacing w:val="-2"/>
          <w:sz w:val="20"/>
          <w:szCs w:val="20"/>
        </w:rPr>
      </w:pPr>
    </w:p>
    <w:p w14:paraId="1FF6BF24" w14:textId="321BF80F" w:rsidR="004C6797" w:rsidRDefault="004C6797">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br w:type="page"/>
      </w:r>
    </w:p>
    <w:p w14:paraId="47D2533A" w14:textId="77777777" w:rsidR="00640082" w:rsidRDefault="00640082">
      <w:pPr>
        <w:rPr>
          <w:rFonts w:ascii="Times New Roman" w:eastAsia="Times New Roman" w:hAnsi="Times New Roman" w:cs="Times New Roman"/>
          <w:color w:val="000000"/>
          <w:sz w:val="18"/>
          <w:szCs w:val="18"/>
        </w:rPr>
      </w:pPr>
    </w:p>
    <w:p w14:paraId="7C6ECD25" w14:textId="77777777" w:rsidR="00640082" w:rsidRPr="00620206" w:rsidRDefault="00640082" w:rsidP="00620206">
      <w:pPr>
        <w:pStyle w:val="Heading1"/>
      </w:pPr>
      <w:bookmarkStart w:id="6" w:name="_Toc197537593"/>
      <w:r w:rsidRPr="00620206">
        <w:t>Stunting in the Digital Age: Health Literacy Challenges Among Parents in Palopo City</w:t>
      </w:r>
      <w:bookmarkEnd w:id="6"/>
    </w:p>
    <w:p w14:paraId="41C102FF" w14:textId="48CF62FE" w:rsidR="00640082" w:rsidRDefault="00640082" w:rsidP="008E37C0">
      <w:pPr>
        <w:pStyle w:val="Heading2"/>
        <w:rPr>
          <w:lang w:val="en-US"/>
        </w:rPr>
      </w:pPr>
      <w:bookmarkStart w:id="7" w:name="_Toc197537594"/>
      <w:r w:rsidRPr="006701AC">
        <w:rPr>
          <w:lang w:val="en-ID"/>
        </w:rPr>
        <w:t xml:space="preserve">Maharani </w:t>
      </w:r>
      <w:r w:rsidRPr="006701AC">
        <w:rPr>
          <w:vertAlign w:val="superscript"/>
          <w:lang w:val="en-ID"/>
        </w:rPr>
        <w:t>1</w:t>
      </w:r>
      <w:r w:rsidRPr="006701AC">
        <w:rPr>
          <w:lang w:val="en-ID"/>
        </w:rPr>
        <w:t>, Andi Nur Gama</w:t>
      </w:r>
      <w:r w:rsidRPr="006701AC">
        <w:rPr>
          <w:vertAlign w:val="superscript"/>
          <w:lang w:val="en-ID"/>
        </w:rPr>
        <w:t>2</w:t>
      </w:r>
      <w:r w:rsidRPr="006701AC">
        <w:rPr>
          <w:lang w:val="en-ID"/>
        </w:rPr>
        <w:t xml:space="preserve">, </w:t>
      </w:r>
      <w:proofErr w:type="spellStart"/>
      <w:r w:rsidRPr="006701AC">
        <w:rPr>
          <w:lang w:val="en-ID"/>
        </w:rPr>
        <w:t>Alifah</w:t>
      </w:r>
      <w:proofErr w:type="spellEnd"/>
      <w:r w:rsidRPr="006701AC">
        <w:rPr>
          <w:lang w:val="en-ID"/>
        </w:rPr>
        <w:t xml:space="preserve"> Awulya Wardani</w:t>
      </w:r>
      <w:r w:rsidRPr="006701AC">
        <w:rPr>
          <w:vertAlign w:val="superscript"/>
          <w:lang w:val="en-ID"/>
        </w:rPr>
        <w:t>3</w:t>
      </w:r>
      <w:bookmarkEnd w:id="7"/>
    </w:p>
    <w:p w14:paraId="2CDFC9B4" w14:textId="7534C5E4" w:rsidR="00640082" w:rsidRPr="00966220" w:rsidRDefault="00640082" w:rsidP="00966220">
      <w:pPr>
        <w:spacing w:after="0" w:line="240" w:lineRule="auto"/>
        <w:jc w:val="center"/>
        <w:rPr>
          <w:rFonts w:ascii="Times New Roman" w:hAnsi="Times New Roman" w:cs="Times New Roman"/>
          <w:sz w:val="24"/>
          <w:szCs w:val="24"/>
        </w:rPr>
      </w:pPr>
      <w:r w:rsidRPr="00966220">
        <w:rPr>
          <w:rFonts w:ascii="Times New Roman" w:hAnsi="Times New Roman" w:cs="Times New Roman"/>
          <w:sz w:val="24"/>
          <w:szCs w:val="24"/>
          <w:vertAlign w:val="superscript"/>
        </w:rPr>
        <w:t>1,2</w:t>
      </w:r>
      <w:r w:rsidRPr="00966220">
        <w:rPr>
          <w:rFonts w:ascii="Times New Roman" w:hAnsi="Times New Roman" w:cs="Times New Roman"/>
          <w:sz w:val="24"/>
          <w:szCs w:val="24"/>
        </w:rPr>
        <w:t>Sociology of Religion</w:t>
      </w:r>
      <w:r w:rsidRPr="00966220">
        <w:rPr>
          <w:rFonts w:ascii="Times New Roman" w:hAnsi="Times New Roman" w:cs="Times New Roman"/>
          <w:sz w:val="24"/>
          <w:szCs w:val="24"/>
          <w:vertAlign w:val="superscript"/>
        </w:rPr>
        <w:t xml:space="preserve"> </w:t>
      </w:r>
      <w:r w:rsidRPr="00966220">
        <w:rPr>
          <w:rFonts w:ascii="Times New Roman" w:hAnsi="Times New Roman" w:cs="Times New Roman"/>
          <w:sz w:val="24"/>
          <w:szCs w:val="24"/>
        </w:rPr>
        <w:t>Department, Faculty of Ushuluddin, Adab, and Dakwah, Institut Agama Islam Negeri Palopo, Palopo, Indonesia</w:t>
      </w:r>
    </w:p>
    <w:p w14:paraId="2049C041" w14:textId="77777777" w:rsidR="00640082" w:rsidRPr="00966220" w:rsidRDefault="00640082" w:rsidP="002015C9">
      <w:pPr>
        <w:spacing w:after="0" w:line="240" w:lineRule="auto"/>
        <w:jc w:val="center"/>
        <w:rPr>
          <w:rFonts w:ascii="Times New Roman" w:hAnsi="Times New Roman" w:cs="Times New Roman"/>
          <w:sz w:val="24"/>
          <w:szCs w:val="24"/>
        </w:rPr>
      </w:pPr>
      <w:r w:rsidRPr="00966220">
        <w:rPr>
          <w:rFonts w:ascii="Times New Roman" w:hAnsi="Times New Roman" w:cs="Times New Roman"/>
          <w:sz w:val="24"/>
          <w:szCs w:val="24"/>
          <w:vertAlign w:val="superscript"/>
        </w:rPr>
        <w:t>3</w:t>
      </w:r>
      <w:r w:rsidRPr="00966220">
        <w:rPr>
          <w:rFonts w:ascii="Times New Roman" w:hAnsi="Times New Roman" w:cs="Times New Roman"/>
          <w:sz w:val="24"/>
          <w:szCs w:val="24"/>
        </w:rPr>
        <w:t>Islamic Communication and Broadcasting Department, Faculty of Ushuluddin, Adab, and Dakwah, Institut Agama Islam Negeri Palopo, Palopo, Indonesia</w:t>
      </w:r>
    </w:p>
    <w:p w14:paraId="48614A7D" w14:textId="77777777" w:rsidR="00640082" w:rsidRDefault="00640082" w:rsidP="002015C9">
      <w:pPr>
        <w:spacing w:after="0" w:line="240" w:lineRule="auto"/>
        <w:jc w:val="center"/>
        <w:rPr>
          <w:rFonts w:ascii="Times New Roman" w:hAnsi="Times New Roman" w:cs="Times New Roman"/>
          <w:b/>
          <w:bCs/>
          <w:sz w:val="20"/>
          <w:szCs w:val="20"/>
        </w:rPr>
      </w:pPr>
    </w:p>
    <w:p w14:paraId="5773852F" w14:textId="77777777" w:rsidR="00640082" w:rsidRPr="00595533" w:rsidRDefault="00640082" w:rsidP="00726AE4">
      <w:pPr>
        <w:rPr>
          <w:lang w:val="en-US"/>
        </w:rPr>
      </w:pPr>
    </w:p>
    <w:p w14:paraId="05C94BDF" w14:textId="77777777" w:rsidR="00640082" w:rsidRPr="00F46444" w:rsidRDefault="00640082" w:rsidP="0035528D">
      <w:pPr>
        <w:spacing w:after="0" w:line="240" w:lineRule="auto"/>
        <w:jc w:val="center"/>
        <w:rPr>
          <w:rFonts w:ascii="Times New Roman" w:hAnsi="Times New Roman" w:cs="Times New Roman"/>
          <w:b/>
          <w:bCs/>
          <w:sz w:val="20"/>
          <w:szCs w:val="20"/>
          <w:lang w:val="en-US"/>
        </w:rPr>
      </w:pPr>
      <w:hyperlink r:id="rId23" w:history="1">
        <w:r w:rsidRPr="005030F5">
          <w:rPr>
            <w:rStyle w:val="Hyperlink"/>
            <w:rFonts w:ascii="Times New Roman" w:hAnsi="Times New Roman" w:cs="Times New Roman"/>
            <w:b/>
            <w:bCs/>
            <w:sz w:val="20"/>
            <w:szCs w:val="20"/>
          </w:rPr>
          <w:t>2201020002@iainpalopo.ac.id</w:t>
        </w:r>
      </w:hyperlink>
      <w:r>
        <w:rPr>
          <w:rFonts w:ascii="Times New Roman" w:hAnsi="Times New Roman" w:cs="Times New Roman"/>
          <w:b/>
          <w:bCs/>
          <w:sz w:val="20"/>
          <w:szCs w:val="20"/>
        </w:rPr>
        <w:t xml:space="preserve"> </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
    <w:p w14:paraId="6FCAD590" w14:textId="77777777" w:rsidR="00640082" w:rsidRDefault="00640082" w:rsidP="009A4688">
      <w:pPr>
        <w:jc w:val="center"/>
        <w:rPr>
          <w:rFonts w:ascii="Times New Roman" w:hAnsi="Times New Roman" w:cs="Times New Roman"/>
          <w:b/>
          <w:bCs/>
          <w:sz w:val="24"/>
          <w:szCs w:val="24"/>
          <w:lang w:val="en-US"/>
        </w:rPr>
      </w:pPr>
      <w:r>
        <w:rPr>
          <w:rFonts w:ascii="Times New Roman" w:hAnsi="Times New Roman" w:cs="Times New Roman"/>
          <w:sz w:val="24"/>
          <w:szCs w:val="24"/>
        </w:rPr>
        <w:t>*</w:t>
      </w:r>
      <w:r>
        <w:rPr>
          <w:rFonts w:ascii="Times New Roman" w:hAnsi="Times New Roman" w:cs="Times New Roman"/>
          <w:b/>
          <w:bCs/>
        </w:rPr>
        <w:t>Maharani</w:t>
      </w:r>
    </w:p>
    <w:p w14:paraId="536FE495" w14:textId="77777777" w:rsidR="00640082" w:rsidRDefault="00640082" w:rsidP="009A4688">
      <w:pPr>
        <w:jc w:val="center"/>
        <w:rPr>
          <w:rFonts w:ascii="Times New Roman" w:hAnsi="Times New Roman" w:cs="Times New Roman"/>
          <w:b/>
          <w:bCs/>
          <w:sz w:val="24"/>
          <w:szCs w:val="24"/>
          <w:lang w:val="en-US"/>
        </w:rPr>
      </w:pPr>
      <w:r>
        <w:rPr>
          <w:rFonts w:ascii="Times New Roman" w:hAnsi="Times New Roman" w:cs="Times New Roman"/>
          <w:b/>
          <w:bCs/>
          <w:sz w:val="24"/>
          <w:szCs w:val="24"/>
        </w:rPr>
        <w:t>Abstract</w:t>
      </w:r>
    </w:p>
    <w:p w14:paraId="06A0F7EE" w14:textId="77777777" w:rsidR="00640082" w:rsidRDefault="00640082" w:rsidP="00E06E99">
      <w:pPr>
        <w:spacing w:line="240" w:lineRule="auto"/>
        <w:rPr>
          <w:rFonts w:ascii="Times New Roman" w:hAnsi="Times New Roman" w:cs="Times New Roman"/>
          <w:sz w:val="18"/>
          <w:szCs w:val="18"/>
          <w:lang w:val="en-ID"/>
        </w:rPr>
      </w:pPr>
      <w:r>
        <w:rPr>
          <w:rFonts w:ascii="Times New Roman" w:hAnsi="Times New Roman" w:cs="Times New Roman"/>
          <w:sz w:val="18"/>
          <w:szCs w:val="18"/>
        </w:rPr>
        <w:t xml:space="preserve">The rapid use of digital information about health is used by parents to find out about </w:t>
      </w:r>
      <w:r w:rsidRPr="00025B8F">
        <w:rPr>
          <w:rFonts w:ascii="Times New Roman" w:hAnsi="Times New Roman" w:cs="Times New Roman"/>
          <w:sz w:val="18"/>
          <w:szCs w:val="18"/>
        </w:rPr>
        <w:t>stunting</w:t>
      </w:r>
      <w:r>
        <w:rPr>
          <w:rFonts w:ascii="Times New Roman" w:hAnsi="Times New Roman" w:cs="Times New Roman"/>
          <w:sz w:val="18"/>
          <w:szCs w:val="18"/>
        </w:rPr>
        <w:t xml:space="preserve"> conditions in their children. This study aims to analyze the behavior of parents seeking information about </w:t>
      </w:r>
      <w:r w:rsidRPr="00025B8F">
        <w:rPr>
          <w:rFonts w:ascii="Times New Roman" w:hAnsi="Times New Roman" w:cs="Times New Roman"/>
          <w:sz w:val="18"/>
          <w:szCs w:val="18"/>
        </w:rPr>
        <w:t>stunting</w:t>
      </w:r>
      <w:r w:rsidRPr="009427D2">
        <w:rPr>
          <w:rFonts w:ascii="Times New Roman" w:hAnsi="Times New Roman" w:cs="Times New Roman"/>
          <w:i/>
          <w:iCs/>
          <w:sz w:val="18"/>
          <w:szCs w:val="18"/>
        </w:rPr>
        <w:t xml:space="preserve"> </w:t>
      </w:r>
      <w:r w:rsidRPr="00046F19">
        <w:rPr>
          <w:rFonts w:ascii="Times New Roman" w:hAnsi="Times New Roman" w:cs="Times New Roman"/>
          <w:sz w:val="18"/>
          <w:szCs w:val="18"/>
        </w:rPr>
        <w:t xml:space="preserve">on the internet and also identify the factors that influence parents to search for information online </w:t>
      </w:r>
      <w:r w:rsidRPr="00611A7B">
        <w:rPr>
          <w:rFonts w:ascii="Times New Roman" w:hAnsi="Times New Roman" w:cs="Times New Roman"/>
          <w:i/>
          <w:iCs/>
          <w:sz w:val="18"/>
          <w:szCs w:val="18"/>
        </w:rPr>
        <w:t xml:space="preserve"> </w:t>
      </w:r>
      <w:r>
        <w:rPr>
          <w:rFonts w:ascii="Times New Roman" w:hAnsi="Times New Roman" w:cs="Times New Roman"/>
          <w:sz w:val="18"/>
          <w:szCs w:val="18"/>
        </w:rPr>
        <w:t xml:space="preserve">about </w:t>
      </w:r>
      <w:r w:rsidRPr="00025B8F">
        <w:rPr>
          <w:rFonts w:ascii="Times New Roman" w:hAnsi="Times New Roman" w:cs="Times New Roman"/>
          <w:sz w:val="18"/>
          <w:szCs w:val="18"/>
        </w:rPr>
        <w:t>stunting</w:t>
      </w:r>
      <w:r w:rsidRPr="00046F19">
        <w:rPr>
          <w:rFonts w:ascii="Times New Roman" w:hAnsi="Times New Roman" w:cs="Times New Roman"/>
          <w:sz w:val="18"/>
          <w:szCs w:val="18"/>
        </w:rPr>
        <w:t xml:space="preserve">. The method used in this study is a qualitative approach with in-depth interviews with </w:t>
      </w:r>
      <w:r>
        <w:rPr>
          <w:rFonts w:ascii="Times New Roman" w:hAnsi="Times New Roman" w:cs="Times New Roman"/>
          <w:sz w:val="18"/>
          <w:szCs w:val="18"/>
        </w:rPr>
        <w:t>five</w:t>
      </w:r>
      <w:r w:rsidRPr="00046F19">
        <w:rPr>
          <w:rFonts w:ascii="Times New Roman" w:hAnsi="Times New Roman" w:cs="Times New Roman"/>
          <w:sz w:val="18"/>
          <w:szCs w:val="18"/>
        </w:rPr>
        <w:t xml:space="preserve"> informants who have </w:t>
      </w:r>
      <w:r w:rsidRPr="00025B8F">
        <w:rPr>
          <w:rFonts w:ascii="Times New Roman" w:hAnsi="Times New Roman" w:cs="Times New Roman"/>
          <w:sz w:val="18"/>
          <w:szCs w:val="18"/>
        </w:rPr>
        <w:t>stunted</w:t>
      </w:r>
      <w:r w:rsidRPr="00046F19">
        <w:rPr>
          <w:rFonts w:ascii="Times New Roman" w:hAnsi="Times New Roman" w:cs="Times New Roman"/>
          <w:sz w:val="18"/>
          <w:szCs w:val="18"/>
        </w:rPr>
        <w:t xml:space="preserve"> children. The results of the study show that parents actively use digital platforms, such as YouTube and Google, to seek information related to parenting, nutrition, and child health, especially after knowing that their child is </w:t>
      </w:r>
      <w:r w:rsidRPr="00025B8F">
        <w:rPr>
          <w:rFonts w:ascii="Times New Roman" w:hAnsi="Times New Roman" w:cs="Times New Roman"/>
          <w:sz w:val="18"/>
          <w:szCs w:val="18"/>
        </w:rPr>
        <w:t>stunted</w:t>
      </w:r>
      <w:r w:rsidRPr="0013641F">
        <w:rPr>
          <w:rFonts w:ascii="Times New Roman" w:hAnsi="Times New Roman" w:cs="Times New Roman"/>
          <w:sz w:val="18"/>
          <w:szCs w:val="18"/>
        </w:rPr>
        <w:t>. Parents feel that video content on the internet helps them better understand parenting practices and appropriate nutrition recommendations. Videos allow them to see first-hand recommended techniques or tips, which they find more effective than verbal instructions they get from healthcare professionals. In addition to the ease of access and availability of various resources, parents also feel that online search allows them to select and sort information according to their child's specific needs, such as the type of nutrition, meal schedule, or sleep patterns that support the child's growth. Unsatisfactory interactions with health workers, such as limited consultation time and incomplete information, also encourage parents to seek additional information online as a complement and further guidance. This study emphasizes the importance of improving digital literacy and health among parents so that they are better able to access accurate and relevant information in order to support child development.</w:t>
      </w:r>
    </w:p>
    <w:p w14:paraId="68542A18" w14:textId="77777777" w:rsidR="00640082" w:rsidRDefault="00640082" w:rsidP="00A11187">
      <w:pPr>
        <w:spacing w:line="240" w:lineRule="auto"/>
        <w:rPr>
          <w:rFonts w:ascii="Times New Roman" w:hAnsi="Times New Roman" w:cs="Times New Roman"/>
          <w:i/>
          <w:iCs/>
          <w:sz w:val="18"/>
          <w:szCs w:val="18"/>
        </w:rPr>
      </w:pPr>
      <w:r w:rsidRPr="00DD0997">
        <w:rPr>
          <w:rFonts w:ascii="Times New Roman" w:hAnsi="Times New Roman" w:cs="Times New Roman"/>
          <w:b/>
          <w:bCs/>
          <w:i/>
          <w:iCs/>
          <w:sz w:val="18"/>
          <w:szCs w:val="18"/>
        </w:rPr>
        <w:t xml:space="preserve">Keywords: </w:t>
      </w:r>
      <w:r>
        <w:rPr>
          <w:rFonts w:ascii="Times New Roman" w:hAnsi="Times New Roman" w:cs="Times New Roman"/>
          <w:i/>
          <w:iCs/>
          <w:sz w:val="18"/>
          <w:szCs w:val="18"/>
        </w:rPr>
        <w:t xml:space="preserve">Digital; Internet; Parenting; </w:t>
      </w:r>
      <w:r w:rsidRPr="00025B8F">
        <w:rPr>
          <w:rFonts w:ascii="Times New Roman" w:hAnsi="Times New Roman" w:cs="Times New Roman"/>
          <w:i/>
          <w:iCs/>
          <w:sz w:val="18"/>
          <w:szCs w:val="18"/>
        </w:rPr>
        <w:t>Stunting</w:t>
      </w:r>
      <w:r>
        <w:rPr>
          <w:rFonts w:ascii="Times New Roman" w:hAnsi="Times New Roman" w:cs="Times New Roman"/>
          <w:i/>
          <w:iCs/>
          <w:sz w:val="18"/>
          <w:szCs w:val="18"/>
        </w:rPr>
        <w:t xml:space="preserve"> </w:t>
      </w:r>
    </w:p>
    <w:p w14:paraId="7FDFC33D" w14:textId="77777777" w:rsidR="00640082" w:rsidRDefault="00640082" w:rsidP="00A11187">
      <w:pPr>
        <w:spacing w:line="240" w:lineRule="auto"/>
        <w:rPr>
          <w:rFonts w:ascii="Times New Roman" w:hAnsi="Times New Roman" w:cs="Times New Roman"/>
          <w:i/>
          <w:iCs/>
          <w:sz w:val="18"/>
          <w:szCs w:val="18"/>
        </w:rPr>
      </w:pPr>
    </w:p>
    <w:p w14:paraId="46520A46" w14:textId="77777777" w:rsidR="00640082" w:rsidRPr="007B43A3" w:rsidRDefault="00640082" w:rsidP="00640082">
      <w:pPr>
        <w:pStyle w:val="ListParagraph"/>
        <w:numPr>
          <w:ilvl w:val="0"/>
          <w:numId w:val="2"/>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rPr>
        <w:t xml:space="preserve">Introduction </w:t>
      </w:r>
    </w:p>
    <w:p w14:paraId="5460F6DF" w14:textId="77777777" w:rsidR="00640082" w:rsidRDefault="00640082" w:rsidP="00C93575">
      <w:pPr>
        <w:pStyle w:val="NormalWeb"/>
        <w:spacing w:before="0" w:beforeAutospacing="0" w:after="0" w:afterAutospacing="0"/>
        <w:ind w:left="720" w:firstLine="720"/>
        <w:jc w:val="both"/>
        <w:rPr>
          <w:color w:val="000000"/>
          <w:sz w:val="20"/>
          <w:szCs w:val="20"/>
        </w:rPr>
      </w:pPr>
      <w:r w:rsidRPr="00025B8F">
        <w:rPr>
          <w:color w:val="000000"/>
          <w:sz w:val="20"/>
          <w:szCs w:val="20"/>
        </w:rPr>
        <w:t>Stunting</w:t>
      </w:r>
      <w:r>
        <w:rPr>
          <w:color w:val="000000"/>
          <w:sz w:val="20"/>
          <w:szCs w:val="20"/>
        </w:rPr>
        <w:t xml:space="preserve"> has become a significant health problem in Indonesia. Prevalence rate </w:t>
      </w:r>
      <w:r w:rsidRPr="00025B8F">
        <w:rPr>
          <w:color w:val="000000"/>
          <w:sz w:val="20"/>
          <w:szCs w:val="20"/>
        </w:rPr>
        <w:t>stunting</w:t>
      </w:r>
      <w:r>
        <w:rPr>
          <w:color w:val="000000"/>
          <w:sz w:val="20"/>
          <w:szCs w:val="20"/>
        </w:rPr>
        <w:t xml:space="preserve"> in Indonesia, it was recorded at 24.4% </w:t>
      </w:r>
      <w:r>
        <w:rPr>
          <w:rStyle w:val="FootnoteReference"/>
          <w:color w:val="000000"/>
          <w:sz w:val="20"/>
          <w:szCs w:val="20"/>
        </w:rPr>
        <w:fldChar w:fldCharType="begin" w:fldLock="1"/>
      </w:r>
      <w:r>
        <w:rPr>
          <w:color w:val="000000"/>
          <w:sz w:val="20"/>
          <w:szCs w:val="20"/>
        </w:rPr>
        <w:instrText>ADDIN CSL_CITATION {"citationItems":[{"id":"ITEM-1","itemData":{"DOI":"10.30867/action.v9i1.1557","ISSN":"2527-3310","abstract":"Stunting is a significant malnourishment problem in Indonesia. The 2021 Indonesian Nutritional Status Study (SSGI) reported that there are five provinces with a high prevalence of stunting (&gt;30%). Age under two years (old age) is the golden period during which children overgrow, and malnutrition during this period can still be corrected. This study analyzed the dominant factors associated with stunting in two-year-old children from five provinces: Aceh, NTB, NTT, West Sulawesi, and Southeast Sulawesi. This cross-sectional study used secondary data from the SSGI 2021. The subjects were 4,554. Children (0-23 months) under five. The 2021 SSGI study was conducted in 34 provinces and 514 regencies/cities from January to December 2021. Data were collected through interviews using the SSGI 2021 questionnaire and anthropometric measurements. Statistical applications were used for data processing. Data analysis was performed using multiple logistic regression tests with the criteria of p&lt;0,05 and a confidence interval (CI) of 95%. The risk factors associated with stunting in children from the five provinces were underweight (OR=9,367), age 6-11 months (OR=1,386), age 12-23 months (OR=1,386), diagnosis of measles (2,5681 CI), male sex (OR=1,400), family size ≥ 8 people (OR=1,612), poor sanitation (OR=1,273 CI 95% 1,041-1,556), and the father's occupation as a farmer/occupation/fisherman/driver (OR=1,278). In conclusion, being underweight is the dominant factor associated with stunting in toddlers.","author":[{"dropping-particle":"","family":"Fitri","given":"Ramadhani","non-dropping-particle":"","parse-names":false,"suffix":""},{"dropping-particle":"","family":"Khomsan","given":"Ali","non-dropping-particle":"","parse-names":false,"suffix":""},{"dropping-particle":"","family":"Dwiriani","given":"Cesilia Meti","non-dropping-particle":"","parse-names":false,"suffix":""}],"container-title":"AcTion: Aceh Nutrition Journal","id":"ITEM-1","issue":"1","issued":{"date-parts":[["2024"]]},"page":"100","title":"The dominant factors associated with stunting among two years children in five provinces in Indonesia","type":"article-journal","volume":"9"},"uris":["http://www.mendeley.com/documents/?uuid=3fd65ee5-ab0b-45da-984e-f1115346f748"]}],"mendeley":{"formattedCitation":"(Fitri et al., 2024)","plainTextFormattedCitation":"(Fitri et al., 2024)","previouslyFormattedCitation":"(Fitri et al., 2024)"},"properties":{"noteIndex":0},"schema":"https://github.com/citation-style-language/schema/raw/master/csl-citation.json"}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(Fitri et al., 2024)</w:t>
      </w:r>
      <w:r>
        <w:rPr>
          <w:rStyle w:val="FootnoteReference"/>
          <w:color w:val="000000"/>
          <w:sz w:val="20"/>
          <w:szCs w:val="20"/>
        </w:rPr>
        <w:fldChar w:fldCharType="end"/>
      </w:r>
      <w:r>
        <w:rPr>
          <w:color w:val="000000"/>
          <w:sz w:val="20"/>
          <w:szCs w:val="20"/>
        </w:rPr>
        <w:t xml:space="preserve">. </w:t>
      </w:r>
      <w:r w:rsidRPr="003B239D">
        <w:rPr>
          <w:color w:val="000000"/>
          <w:sz w:val="20"/>
          <w:szCs w:val="20"/>
        </w:rPr>
        <w:t xml:space="preserve">Based on the results of measurements of toddlers for the period August 2023, the number of toddlers with status stunting was 42,659 or around 7.6 percent of the number of toddlers measured as many as 558,648, it was recorded that the stunting prevalence rate in </w:t>
      </w:r>
      <w:proofErr w:type="spellStart"/>
      <w:r w:rsidRPr="003B239D">
        <w:rPr>
          <w:color w:val="000000"/>
          <w:sz w:val="20"/>
          <w:szCs w:val="20"/>
        </w:rPr>
        <w:t>Selayar</w:t>
      </w:r>
      <w:proofErr w:type="spellEnd"/>
      <w:r w:rsidRPr="003B239D">
        <w:rPr>
          <w:color w:val="000000"/>
          <w:sz w:val="20"/>
          <w:szCs w:val="20"/>
        </w:rPr>
        <w:t xml:space="preserve"> Regency was (18.7%) </w:t>
      </w:r>
      <w:proofErr w:type="spellStart"/>
      <w:r w:rsidRPr="003B239D">
        <w:rPr>
          <w:color w:val="000000"/>
          <w:sz w:val="20"/>
          <w:szCs w:val="20"/>
        </w:rPr>
        <w:t>Enrekang</w:t>
      </w:r>
      <w:proofErr w:type="spellEnd"/>
      <w:r w:rsidRPr="003B239D">
        <w:rPr>
          <w:color w:val="000000"/>
          <w:sz w:val="20"/>
          <w:szCs w:val="20"/>
        </w:rPr>
        <w:t xml:space="preserve"> Regency (18.6%), Jeneponto (15.4%), Tana Toraja (15.4%) and North Toraja (11.6%) are the five regions with the highest percentage in South Sulawesi Province. Furthermore, the area that shows the lowest percentage of stunting is </w:t>
      </w:r>
      <w:proofErr w:type="spellStart"/>
      <w:r w:rsidRPr="003B239D">
        <w:rPr>
          <w:color w:val="000000"/>
          <w:sz w:val="20"/>
          <w:szCs w:val="20"/>
        </w:rPr>
        <w:t>Palopo</w:t>
      </w:r>
      <w:proofErr w:type="spellEnd"/>
      <w:r w:rsidRPr="003B239D">
        <w:rPr>
          <w:color w:val="000000"/>
          <w:sz w:val="20"/>
          <w:szCs w:val="20"/>
        </w:rPr>
        <w:t xml:space="preserve"> City (2.2%), Makassar City (3.1%) and East </w:t>
      </w:r>
      <w:proofErr w:type="spellStart"/>
      <w:r w:rsidRPr="003B239D">
        <w:rPr>
          <w:color w:val="000000"/>
          <w:sz w:val="20"/>
          <w:szCs w:val="20"/>
        </w:rPr>
        <w:t>Luwu</w:t>
      </w:r>
      <w:proofErr w:type="spellEnd"/>
      <w:r w:rsidRPr="003B239D">
        <w:rPr>
          <w:color w:val="000000"/>
          <w:sz w:val="20"/>
          <w:szCs w:val="20"/>
        </w:rPr>
        <w:t xml:space="preserve"> (3.8%). </w:t>
      </w:r>
      <w:r w:rsidRPr="00025B8F">
        <w:rPr>
          <w:color w:val="000000"/>
          <w:sz w:val="20"/>
          <w:szCs w:val="20"/>
        </w:rPr>
        <w:t>Stunting</w:t>
      </w:r>
      <w:r>
        <w:rPr>
          <w:color w:val="000000"/>
          <w:sz w:val="20"/>
          <w:szCs w:val="20"/>
        </w:rPr>
        <w:t xml:space="preserve"> Referring to a condition in which children experience growth disorders due to a lack of adequate nutritional intake in an important period of development, especially in the first 1000 days of life </w:t>
      </w:r>
      <w:r>
        <w:rPr>
          <w:rStyle w:val="FootnoteReference"/>
          <w:color w:val="000000"/>
          <w:sz w:val="20"/>
          <w:szCs w:val="20"/>
        </w:rPr>
        <w:fldChar w:fldCharType="begin" w:fldLock="1"/>
      </w:r>
      <w:r>
        <w:rPr>
          <w:color w:val="000000"/>
          <w:sz w:val="20"/>
          <w:szCs w:val="20"/>
        </w:rPr>
        <w:instrText>ADDIN CSL_CITATION {"citationItems":[{"id":"ITEM-1","itemData":{"DOI":"https://doi.org/10.58794/santi.v3i2.549","abstract":"Masalah gizi stunting (balita pendek) merupakan salah satu masalah gizi yang krusial, khususnya di negara-negara miskin dan berkembang. Stunting merupakan bentuk kegagalan tumbuh kembang yang menyebabkan gangguan pertumbuhan linear pada balita akibat dari akumulasi ketidakcukupan nutrisi yang berlangsung lama, sejak dari masa kehamilan hingga pada usia 24 bulan. Design Thinking merupakan metode pendekatan desain yang berpusat pada manusia untuk menyelesaikan masalah dan menghadirkan inovasi baru. Metode ini memiliki beberapa tahapan yaitu emphatize, define, ideate, prototype, dan test. Pengembangan aplikasi ini melibatkan pengguna potensial (orang tua) dalam tahap desain dan pengembangan untuk memastikan bahwa aplikasi benar-benar memenuhi kebutuhan dan mudah digunakan. Aplikasi ini bertujuan agar dapat membantu orang tua dalam mengetahui perkembangan anak. Aplikasi memiliki fitur untuk melakukan penilaian pertumbuhan anak secara berkala. Berdasarkan data yang dimasukkan, aplikasi dapat memberikan informasi mengenai perkembangan pertumbuhan anak tersebut apakah berada dalam rentang normal atau ada indikasi stunting.","author":[{"dropping-particle":"","family":"Liem","given":"Jordan","non-dropping-particle":"","parse-names":false,"suffix":""},{"dropping-particle":"","family":"Noratama Putri","given":"Ramalia","non-dropping-particle":"","parse-names":false,"suffix":""}],"container-title":"Jurnal SANTI - Sistem Informasi dan Teknik Informasi","id":"ITEM-1","issue":"2","issued":{"date-parts":[["2023"]]},"page":"92-105","title":"Aplikasi Cegah Stunting Dengan Metode Design Thinking Berbasis Android","type":"article-journal","volume":"3"},"uris":["http://www.mendeley.com/documents/?uuid=0d5c8c25-aa17-4538-a99d-9219ea93ceed"]},{"id":"ITEM-2","itemData":{"DOI":"https://doi.org/10.1111/mcn.12231","ISSN":"17408709","PMID":"27187907","abstract":"Childhood stunting is the best overall indicator of children's well-being and an accurate reflection of social inequalities. Stunting is the most prevalent form of child malnutrition with an estimated 161 million children worldwide in 2013 falling below -2 SD from the length-for-age/height-for-age World Health Organization Child Growth Standards median. Many more millions suffer from some degree of growth faltering as the entire length-for-age/height-for-age z-score distribution is shifted to the left indicating that all children, and not only those falling below a specific cutoff, are affected. Despite global consensus on how to define and measure it, stunting often goes unrecognized in communities where short stature is the norm as linear growth is not routinely assessed in primary health care settings and it is difficult to visually recognize it. Growth faltering often begins in utero and continues for at least the first 2years of post-natal life. Linear growth failure serves as a marker of multiple pathological disorders associated with increased morbidity and mortality, loss of physical growth potential, reduced neurodevelopmental and cognitive function and an elevated risk of chronic disease in adulthood. The severe irreversible physical and neurocognitive damage that accompanies stunted growth poses a major threat to human development. Increased awareness of stunting's magnitude and devastating consequences has resulted in its being identified as a major global health priority and the focus of international attention at the highest levels with global targets set for 2025 and beyond. The challenge is to prevent linear growth failure while keeping child overweight and obesity at bay.","author":[{"dropping-particle":"","family":"Onis","given":"Mercedes","non-dropping-particle":"de","parse-names":false,"suffix":""},{"dropping-particle":"","family":"Branca","given":"Francesco","non-dropping-particle":"","parse-names":false,"suffix":""}],"container-title":"Maternal and Child Nutrition","id":"ITEM-2","issued":{"date-parts":[["2016"]]},"page":"12-26","title":"Childhood stunting: A global perspective","type":"article-journal","volume":"12"},"uris":["http://www.mendeley.com/documents/?uuid=eadbe5fb-7c04-48b8-8dd6-c0a60a917c1a"]},{"id":"ITEM-3","itemData":{"DOI":"https://doi.org/10.1038/s41430-019-0439-4","ISSN":"14765640","PMID":"31142828","abstract":"Background: WHO documents characterize stunting as, “…impaired growth and development that children experience from poor nutrition, repeated infection, and inadequate psychosocial stimulation.” The equation of stunting with malnutrition is common. This contrasts with historic and modern observations indicating that growth in height is largely independent of the extent and nature of the diet. Subjects: We measured 1716 Indonesian children, aged 6.0–13.2 years, from urban Kupang/West-Timor and rural Soe/West-Timor, urban Ubud/Bali, and rural Marbau/North Sumatra. We clinically assessed signs of malnutrition and skin infections. Results: There was no relevant correlation between nutritional status (indicated by skinfold thickness) and height SDS (hSDS). In total 53% of boys, and 46% girls in rural Soe were stunted, with no meaningful association between mean of triceps and subscapular skinfolds (x̅SF) and height. Skinfold thickness was close to German values. Shortest and tallest children did not differ relevantly in skinfold thickness. The same applied for the association between hSDS and mid-upper-arm circumference (MUAC) using linear mixed effects models with both fixed and random effects. In total 35.6% boys and 29.2% girls in urban Ubud were overweight; 21.4% boys and 12.4% girls obese, but with mean hSDS = −0.3, still short. Relevant associations between hSDS and x̅SF and MUAC were only found among the overweight urban children confirming that growth is accelerated in overweight and obese children. There were no visible clinical signs of malnutrition or chronic infection in the stunted children. Conclusion: The present data seriously question the concept of stunting as prima facie evidence of malnutrition and chronic infection.","author":[{"dropping-particle":"","family":"Scheffler","given":"C.","non-dropping-particle":"","parse-names":false,"suffix":""},{"dropping-particle":"","family":"Hermanussen","given":"M.","non-dropping-particle":"","parse-names":false,"suffix":""},{"dropping-particle":"","family":"Bogin","given":"B.","non-dropping-particle":"","parse-names":false,"suffix":""},{"dropping-particle":"","family":"Liana","given":"D. S.","non-dropping-particle":"","parse-names":false,"suffix":""},{"dropping-particle":"","family":"Taolin","given":"F.","non-dropping-particle":"","parse-names":false,"suffix":""},{"dropping-particle":"","family":"Cempaka","given":"P. M.V.P.","non-dropping-particle":"","parse-names":false,"suffix":""},{"dropping-particle":"","family":"Irawan","given":"M.","non-dropping-particle":"","parse-names":false,"suffix":""},{"dropping-particle":"","family":"Ibbibah","given":"L. F.","non-dropping-particle":"","parse-names":false,"suffix":""},{"dropping-particle":"","family":"Mappapa","given":"N. K.","non-dropping-particle":"","parse-names":false,"suffix":""},{"dropping-particle":"","family":"Payong","given":"M. K.E.","non-dropping-particle":"","parse-names":false,"suffix":""},{"dropping-particle":"V.","family":"Homalessy","given":"A.","non-dropping-particle":"","parse-names":false,"suffix":""},{"dropping-particle":"","family":"Takalapeta","given":"A.","non-dropping-particle":"","parse-names":false,"suffix":""},{"dropping-particle":"","family":"Apriyanti","given":"S.","non-dropping-particle":"","parse-names":false,"suffix":""},{"dropping-particle":"","family":"Manoeroe","given":"M. G.","non-dropping-particle":"","parse-names":false,"suffix":""},{"dropping-particle":"","family":"Dupe","given":"F. R.","non-dropping-particle":"","parse-names":false,"suffix":""},{"dropping-particle":"","family":"Ratri","given":"R. R.K.","non-dropping-particle":"","parse-names":false,"suffix":""},{"dropping-particle":"","family":"Touw","given":"S. Y.","non-dropping-particle":"","parse-names":false,"suffix":""},{"dropping-particle":"V.","family":"K","given":"P.","non-dropping-particle":"","parse-names":false,"suffix":""},{"dropping-particle":"","family":"Murtani","given":"B. J.","non-dropping-particle":"","parse-names":false,"suffix":""},{"dropping-particle":"","family":"Nunuhitu","given":"R.","non-dropping-particle":"","parse-names":false,"suffix":""},{"dropping-particle":"","family":"Puspitasari","given":"R.","non-dropping-particle":"","parse-names":false,"suffix":""},{"dropping-particle":"","family":"Riandra","given":"I. K.","non-dropping-particle":"","parse-names":false,"suffix":""},{"dropping-particle":"","family":"Liwan","given":"A. S.","non-dropping-particle":"","parse-names":false,"suffix":""},{"dropping-particle":"","family":"Amandari","given":"P.","non-dropping-particle":"","parse-names":false,"suffix":""},{"dropping-particle":"","family":"Permatasari","given":"A. A.I.","non-dropping-particle":"","parse-names":false,"suffix":""},{"dropping-particle":"","family":"Julia","given":"M.","non-dropping-particle":"","parse-names":false,"suffix":""},{"dropping-particle":"","family":"Batubara","given":"J.","non-dropping-particle":"","parse-names":false,"suffix":""},{"dropping-particle":"","family":"Pulungan","given":"A.","non-dropping-particle":"","parse-names":false,"suffix":""}],"container-title":"European Journal of Clinical Nutrition","id":"ITEM-3","issue":"3","issued":{"date-parts":[["2020"]]},"page":"377-386","title":"Stunting is not a synonym of malnutrition","type":"article-journal","volume":"74"},"uris":["http://www.mendeley.com/documents/?uuid=c7090ab7-3f28-49a2-88e6-240b77f5822f"]}],"mendeley":{"formattedCitation":"(de Onis &amp; Branca, 2016; Liem &amp; Noratama Putri, 2023; Scheffler et al., 2020)","plainTextFormattedCitation":"(de Onis &amp; Branca, 2016; Liem &amp; Noratama Putri, 2023; Scheffler et al., 2020)","previouslyFormattedCitation":"(de Onis &amp; Branca, 2016; Liem &amp; Noratama Putri, 2023; Scheffler et al., 2020)"},"properties":{"noteIndex":0},"schema":"https://github.com/citation-style-language/schema/raw/master/csl-citation.json"}</w:instrText>
      </w:r>
      <w:r>
        <w:rPr>
          <w:rStyle w:val="FootnoteReference"/>
          <w:color w:val="000000"/>
          <w:sz w:val="20"/>
          <w:szCs w:val="20"/>
        </w:rPr>
        <w:fldChar w:fldCharType="separate"/>
      </w:r>
      <w:r w:rsidRPr="00A25B15">
        <w:rPr>
          <w:bCs/>
          <w:noProof/>
          <w:color w:val="000000"/>
          <w:sz w:val="20"/>
          <w:szCs w:val="20"/>
        </w:rPr>
        <w:t>(de Onis &amp; Branca, 2016; Liem &amp; Noratama Putri, 2023; Scheffler et al., 2020)</w:t>
      </w:r>
      <w:r>
        <w:rPr>
          <w:rStyle w:val="FootnoteReference"/>
          <w:color w:val="000000"/>
          <w:sz w:val="20"/>
          <w:szCs w:val="20"/>
        </w:rPr>
        <w:fldChar w:fldCharType="end"/>
      </w:r>
      <w:r>
        <w:rPr>
          <w:color w:val="000000"/>
          <w:sz w:val="20"/>
          <w:szCs w:val="20"/>
        </w:rPr>
        <w:t xml:space="preserve">. The long-term impact of </w:t>
      </w:r>
      <w:r w:rsidRPr="00025B8F">
        <w:rPr>
          <w:color w:val="000000"/>
          <w:sz w:val="20"/>
          <w:szCs w:val="20"/>
        </w:rPr>
        <w:t>stunting</w:t>
      </w:r>
      <w:r>
        <w:rPr>
          <w:color w:val="000000"/>
          <w:sz w:val="20"/>
          <w:szCs w:val="20"/>
        </w:rPr>
        <w:t xml:space="preserve"> including cognitive impairment, chronic health risks, and lower economic potential in adulthood </w:t>
      </w:r>
      <w:r>
        <w:rPr>
          <w:rStyle w:val="FootnoteReference"/>
          <w:color w:val="000000"/>
          <w:sz w:val="20"/>
          <w:szCs w:val="20"/>
        </w:rPr>
        <w:fldChar w:fldCharType="begin" w:fldLock="1"/>
      </w:r>
      <w:r>
        <w:rPr>
          <w:color w:val="000000"/>
          <w:sz w:val="20"/>
          <w:szCs w:val="20"/>
        </w:rPr>
        <w:instrText>ADDIN CSL_CITATION {"citationItems":[{"id":"ITEM-1","itemData":{"DOI":"10.35971/jjhsr.v3i2.10736","ISSN":"2623-0674","abstract":"The incidence of stunting under five is a major nutritional problem faced by Indonesia. The research aimed to determine relationship of the social, economic, and environmental factors related with stunting occurrenceintoddlers 10-59 months at Health Centers Gorontalo District. This research was done on the population of toddlers who experience stunting in 2019 recorded in 7Health Centers. The data was collected from 98 samples by applying the purposive sampling method. The research instrument was done by using a questionnaire. Data analysis employs univariate, bivariate analysis and chi-square test with the help of software SPSS version 21. The result showed that the social factors, namely mother's education with the p-value of 0,000 OR = 12,375 CI = 4,560-33,584, and economic factors, namely income with the p-value of 0,000 OR = 11,719 CI = 3,652 – 38,605 and environmental factors, namely waste disposal facilities with the p-value of 0,000 OR = 12,813 CI = 4,815 -34,097. Based on these result, it can be stated that social factors, especially mother's education, economic factors, especially income, and environmental factors, especially waste disposal facilities have a significant relationship with stunting occurrence in toddlers 10-59 months at the Health Centers Gorontalo District.","author":[{"dropping-particle":"","family":"Tongkonoo","given":"Indramaya","non-dropping-particle":"","parse-names":false,"suffix":""},{"dropping-particle":"","family":"Solang","given":"Margaretha","non-dropping-particle":"","parse-names":false,"suffix":""},{"dropping-particle":"","family":"Baderan","given":"Dewi Wahyuni K","non-dropping-particle":"","parse-names":false,"suffix":""}],"container-title":"Jambura Journal of Health Sciences and Research","id":"ITEM-1","issue":"2","issued":{"date-parts":[["2021"]]},"page":"256-276","title":"the Relationship of Social, Economic, and Enviromental Factors With Stunting Occurrence in Toddlers","type":"article-journal","volume":"3"},"uris":["http://www.mendeley.com/documents/?uuid=b5ea1e8c-6ed6-4555-9642-a1b9a2553a50"]}],"mendeley":{"formattedCitation":"(Tongkonoo et al., 2021)","plainTextFormattedCitation":"(Tongkonoo et al., 2021)","previouslyFormattedCitation":"(Tongkonoo et al., 2021)"},"properties":{"noteIndex":0},"schema":"https://github.com/citation-style-language/schema/raw/master/csl-citation.json"}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(Tongkonoo et al., 2021)</w:t>
      </w:r>
      <w:r>
        <w:rPr>
          <w:rStyle w:val="FootnoteReference"/>
          <w:color w:val="000000"/>
          <w:sz w:val="20"/>
          <w:szCs w:val="20"/>
        </w:rPr>
        <w:fldChar w:fldCharType="end"/>
      </w:r>
      <w:r>
        <w:rPr>
          <w:color w:val="000000"/>
          <w:sz w:val="20"/>
          <w:szCs w:val="20"/>
        </w:rPr>
        <w:t>. Therefore, proper knowledge and precautions by parents are very important.</w:t>
      </w:r>
    </w:p>
    <w:p w14:paraId="26EBA1E1" w14:textId="77777777" w:rsidR="00640082" w:rsidRDefault="00640082" w:rsidP="00084032">
      <w:pPr>
        <w:pStyle w:val="NormalWeb"/>
        <w:spacing w:before="0" w:beforeAutospacing="0" w:after="0" w:afterAutospacing="0"/>
        <w:ind w:left="720" w:firstLine="720"/>
        <w:jc w:val="both"/>
        <w:rPr>
          <w:color w:val="000000"/>
          <w:sz w:val="20"/>
          <w:szCs w:val="20"/>
        </w:rPr>
      </w:pPr>
      <w:r>
        <w:rPr>
          <w:color w:val="000000"/>
          <w:sz w:val="20"/>
          <w:szCs w:val="20"/>
        </w:rPr>
        <w:t xml:space="preserve">In today's digital era, the search for information about children's health, including </w:t>
      </w:r>
      <w:r w:rsidRPr="00025B8F">
        <w:rPr>
          <w:color w:val="000000"/>
          <w:sz w:val="20"/>
          <w:szCs w:val="20"/>
        </w:rPr>
        <w:t>stunting</w:t>
      </w:r>
      <w:r>
        <w:rPr>
          <w:color w:val="000000"/>
          <w:sz w:val="20"/>
          <w:szCs w:val="20"/>
        </w:rPr>
        <w:t xml:space="preserve">, further facilitated by advances in information technology </w:t>
      </w:r>
      <w:r>
        <w:rPr>
          <w:rStyle w:val="FootnoteReference"/>
          <w:color w:val="000000"/>
          <w:sz w:val="20"/>
          <w:szCs w:val="20"/>
        </w:rPr>
        <w:fldChar w:fldCharType="begin" w:fldLock="1"/>
      </w:r>
      <w:r>
        <w:rPr>
          <w:color w:val="000000"/>
          <w:sz w:val="20"/>
          <w:szCs w:val="20"/>
        </w:rPr>
        <w:instrText>ADDIN CSL_CITATION {"citationItems":[{"id":"ITEM-1","itemData":{"DOI":"https://doi.org/10.7454/MJS.v29i1.13569","ISSN":"08528489","author":[{"dropping-particle":"","family":"Ratri","given":"Sari Damar","non-dropping-particle":"","parse-names":false,"suffix":""}],"container-title":"Masyarakat: Jurnal Sosiologi","id":"ITEM-1","issue":"1","issued":{"date-parts":[["2024"]]},"title":"Digital Echoes: The Influence of Internet and Social Media on the “Ideal” Conception of Motherhood in Indonesian Stunting Programs","type":"article-journal","volume":"29"},"uris":["http://www.mendeley.com/documents/?uuid=20f00b8a-3fb4-49ac-aa6c-14db21f77a88"]}],"mendeley":{"formattedCitation":"(Ratri, 2024)","plainTextFormattedCitation":"(Ratri, 2024)","previouslyFormattedCitation":"(Ratri, 2024)"},"properties":{"noteIndex":0},"schema":"https://github.com/citation-style-language/schema/raw/master/csl-citation.json"}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(Ratri, 2024)</w:t>
      </w:r>
      <w:r>
        <w:rPr>
          <w:rStyle w:val="FootnoteReference"/>
          <w:color w:val="000000"/>
          <w:sz w:val="20"/>
          <w:szCs w:val="20"/>
        </w:rPr>
        <w:fldChar w:fldCharType="end"/>
      </w:r>
      <w:r>
        <w:rPr>
          <w:color w:val="000000"/>
          <w:sz w:val="20"/>
          <w:szCs w:val="20"/>
        </w:rPr>
        <w:t xml:space="preserve">. This is as found in the research by </w:t>
      </w:r>
      <w:proofErr w:type="spellStart"/>
      <w:r>
        <w:rPr>
          <w:color w:val="000000"/>
          <w:sz w:val="20"/>
          <w:szCs w:val="20"/>
        </w:rPr>
        <w:t>Kinanti</w:t>
      </w:r>
      <w:proofErr w:type="spellEnd"/>
      <w:r>
        <w:rPr>
          <w:color w:val="000000"/>
          <w:sz w:val="20"/>
          <w:szCs w:val="20"/>
        </w:rPr>
        <w:t xml:space="preserve"> and Erza</w:t>
      </w:r>
      <w:r>
        <w:rPr>
          <w:rStyle w:val="FootnoteReference"/>
          <w:color w:val="000000"/>
          <w:sz w:val="20"/>
          <w:szCs w:val="20"/>
        </w:rPr>
        <w:fldChar w:fldCharType="begin" w:fldLock="1"/>
      </w:r>
      <w:r>
        <w:rPr>
          <w:color w:val="000000"/>
          <w:sz w:val="20"/>
          <w:szCs w:val="20"/>
        </w:rPr>
        <w:instrText>ADDIN CSL_CITATION {"citationItems":[{"id":"ITEM-1","itemData":{"DOI":"10.37108/shaut.v12i1.303","ISSN":"2339-1456","abstract":"ABSTRAK Penelitian ini membahas informasi apa yang paling dibutuhkan oleh generasi Z berbasis teknologi informasi. Generasi Z adalah generasi yang lahir pada tahun 1995-2009. Tujuan penelitian ini untuk mengetahui informasi apa saja yang dibutuhkan generasi Z pada siswa SMA YUPENTEK 1 Kota Tangerang. Metode yang digunakan adalah metode kuantitatif dengan pendekatan deskriptif. Subjek penelitian adalah siswa dan objek penelitian adalah kebutuhan informasi. Populasi dalam penelitian ini adalah siswa SMA Yupentek 1 Kota Tangerang yang lahir tahun 1999-2001. Jumlah sampel pada penelitian ini adalah 86 orang siswa. Pengumpulan data dilakukan dengan observasi, kuesioner dan studi literatur. Berdasarkan hasil penelitian didapatkan kesimpulan bahwa informasi yang paling dibutuhkan oleh Generasi Z adalah informasi penyakit seksual/organ reproduksi dan hubungan pertemanan. Sumber informasi yang dipilih oleh generasi Z dalam mencari informasi adalah google dan media sosial. Kata kunci: Generasi Z, Kebutuhan Informasi, Siswa, media online ABSTRAK This study is aimed to discuss which technology-based information is mostly required by Generation Z. Generation Z is defined as generation born within the timeframe 1995 to 2009. This study is focused on investigating what kind of information is needed by the Generation Z in SMA YUPENTEK 1 Kota Tanggerang. By using quantitative method with descriptive approach, students are placed as the subject of the study and the information needs as the object. The population is the students of SMA YUPENTEK 1 Kota Tanggerang born in the period of 1999 to 2001. The total sample of 86 students is obtained from the population. Data collected through observations, questionnaires, and literature studies. The result shows that the information regarding sexually transmitted/reproductive system diseases and friendships is mostly needed by Generation Z. It was known from the study that the main source of information used by the students is google and social media. Kata kunci: Generation Z, Information Need, Student, media online","author":[{"dropping-particle":"","family":"Kinanti","given":"Dika Nanda","non-dropping-particle":"","parse-names":false,"suffix":""},{"dropping-particle":"","family":"Erza","given":"Elfitri Kurnia","non-dropping-particle":"","parse-names":false,"suffix":""}],"container-title":"Shaut Al-Maktabah : Jurnal Perpustakaan, Arsip dan Dokumentasi","id":"ITEM-1","issue":"1","issued":{"date-parts":[["2020"]]},"page":"72-84","title":"Analisis Kebutuhan Informasi Generasi Z Dalam Akses Informasi Di Media","type":"article-journal","volume":"12"},"uris":["http://www.mendeley.com/documents/?uuid=14d710c0-2340-4d49-b7e7-0f4600c5aecf"]}],"mendeley":{"formattedCitation":"(Kinanti &amp; Erza, 2020)","plainTextFormattedCitation":"(Kinanti &amp; Erza, 2020)","previouslyFormattedCitation":"(Kinanti &amp; Erza, 2020)"},"properties":{"noteIndex":0},"schema":"https://github.com/citation-style-language/schema/raw/master/csl-citation.json"}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w:t>
      </w:r>
      <w:proofErr w:type="spellStart"/>
      <w:r w:rsidRPr="00DD57E7">
        <w:rPr>
          <w:bCs/>
          <w:noProof/>
          <w:color w:val="000000"/>
          <w:sz w:val="20"/>
          <w:szCs w:val="20"/>
        </w:rPr>
        <w:t>Kinanti</w:t>
      </w:r>
      <w:proofErr w:type="spellEnd"/>
      <w:r w:rsidRPr="00DD57E7">
        <w:rPr>
          <w:bCs/>
          <w:noProof/>
          <w:color w:val="000000"/>
          <w:sz w:val="20"/>
          <w:szCs w:val="20"/>
        </w:rPr>
        <w:t xml:space="preserve"> &amp; Erza, 2020)</w:t>
      </w:r>
      <w:r>
        <w:rPr>
          <w:rStyle w:val="FootnoteReference"/>
          <w:color w:val="000000"/>
          <w:sz w:val="20"/>
          <w:szCs w:val="20"/>
        </w:rPr>
        <w:fldChar w:fldCharType="end"/>
      </w:r>
      <w:r w:rsidRPr="007355DD">
        <w:rPr>
          <w:color w:val="000000"/>
          <w:sz w:val="20"/>
          <w:szCs w:val="20"/>
        </w:rPr>
        <w:t xml:space="preserve">, where young adults often seek information about health and disease through Google and social media. The use of the internet to search for information, including about health and disease, is due to the quick and easy access compared to searching for information directly </w:t>
      </w:r>
      <w:r>
        <w:rPr>
          <w:rStyle w:val="FootnoteReference"/>
          <w:color w:val="000000"/>
          <w:sz w:val="20"/>
          <w:szCs w:val="20"/>
        </w:rPr>
        <w:fldChar w:fldCharType="begin" w:fldLock="1"/>
      </w:r>
      <w:r>
        <w:rPr>
          <w:color w:val="000000"/>
          <w:sz w:val="20"/>
          <w:szCs w:val="20"/>
        </w:rPr>
        <w:instrText>ADDIN CSL_CITATION {"citationItems":[{"id":"ITEM-1","itemData":{"DOI":"http://dx.doi.org/10.35760/psi.2023.v16i2.7920","author":[{"dropping-particle":"","family":"Santosa","given":"Klarissa C. T.","non-dropping-particle":"","parse-names":false,"suffix":""},{"dropping-particle":"","family":"Princen","given":"","non-dropping-particle":"","parse-names":false,"suffix":""}],"container-title":"Jurnal Psikologi","id":"ITEM-1","issue":"2","issued":{"date-parts":[["2023"]]},"page":"272-291","title":"Pengaruh Health Anxiety Terhadap Peningkatan Cyberchondria dengan Moderasi Neuroticism pada Dewasa Muda","type":"article-journal","volume":"16"},"uris":["http://www.mendeley.com/documents/?uuid=693713a3-c190-468f-ba92-b221f83f0922"]}],"mendeley":{"formattedCitation":"(Santosa &amp; Princen, 2023)","plainTextFormattedCitation":"(Santosa &amp; Princen, 2023)","previouslyFormattedCitation":"(Santosa &amp; Princen, 2023)"},"properties":{"noteIndex":0},"schema":"https://github.com/citation-style-language/schema/raw/master/csl-citation.json"}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(Santosa &amp; Princen, 2023)</w:t>
      </w:r>
      <w:r>
        <w:rPr>
          <w:rStyle w:val="FootnoteReference"/>
          <w:color w:val="000000"/>
          <w:sz w:val="20"/>
          <w:szCs w:val="20"/>
        </w:rPr>
        <w:fldChar w:fldCharType="end"/>
      </w:r>
      <w:r>
        <w:rPr>
          <w:color w:val="000000"/>
          <w:sz w:val="20"/>
          <w:szCs w:val="20"/>
        </w:rPr>
        <w:t xml:space="preserve">. The use of the internet by the public is also increasing due to the feeling of staying connected with others, especially during the COVID-19 pandemic </w:t>
      </w:r>
      <w:r>
        <w:rPr>
          <w:rStyle w:val="FootnoteReference"/>
          <w:color w:val="000000"/>
          <w:sz w:val="20"/>
          <w:szCs w:val="20"/>
        </w:rPr>
        <w:fldChar w:fldCharType="begin" w:fldLock="1"/>
      </w:r>
      <w:r>
        <w:rPr>
          <w:color w:val="000000"/>
          <w:sz w:val="20"/>
          <w:szCs w:val="20"/>
        </w:rPr>
        <w:instrText>ADDIN CSL_CITATION {"citationItems":[{"id":"ITEM-1","itemData":{"DOI":"10.1016/j.apnu.2021.08.009","ISSN":"08839417","PMID":"34861946","abstract":"In this descriptive and correlational study, it was aimed to examine the relationship between adolescents' smartphone addiction and cyberchondria. Data were obtained from 384 adolescent high school students in Istanbul between December 2020 and January 2021, using a Personal Information Form, the Smartphone Addiction Scale, and Cyberchondria Severity Scale. The data were collected through face-to-face interviews with the students. The adolescents' smartphone use duration was 3.67 ± 1.66 years. Almost all (97.9%) connected to the internet via smartphones and 39.3% spent 3–4 h per day on the internet. It was determined that 61.7% of them checked their phones as soon as they woke up in the morning and 75.3% of them before going to bed in the evening. For those whose smartphone use duration is high, their cyberchondria also increases. The authors suggest that nurses should understand smartphone addiction and cyberchondria to identify and apply nursing interventions when necessary in adolescents.","author":[{"dropping-particle":"","family":"Köse","given":"Selmin","non-dropping-particle":"","parse-names":false,"suffix":""},{"dropping-particle":"","family":"Murat","given":"Merve","non-dropping-particle":"","parse-names":false,"suffix":""}],"container-title":"Archives of Psychiatric Nursing","id":"ITEM-1","issue":"6","issued":{"date-parts":[["2021"]]},"page":"563-570","title":"Examination of the relationship between smartphone addiction and cyberchondria in adolescents","type":"article-journal","volume":"35"},"uris":["http://www.mendeley.com/documents/?uuid=8e01d0d5-a630-4336-ade1-c9a63100beed"]}],"mendeley":{"formattedCitation":"(Köse &amp; Murat, 2021)","plainTextFormattedCitation":"(Köse &amp; Murat, 2021)","previouslyFormattedCitation":"(Köse &amp; Murat, 2021)"},"properties":{"noteIndex":0},"schema":"https://github.com/citation-style-language/schema/raw/master/csl-citation.json"}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(Köse &amp; Murat, 2021)</w:t>
      </w:r>
      <w:r>
        <w:rPr>
          <w:rStyle w:val="FootnoteReference"/>
          <w:color w:val="000000"/>
          <w:sz w:val="20"/>
          <w:szCs w:val="20"/>
        </w:rPr>
        <w:fldChar w:fldCharType="end"/>
      </w:r>
      <w:r>
        <w:rPr>
          <w:color w:val="000000"/>
          <w:sz w:val="20"/>
          <w:szCs w:val="20"/>
        </w:rPr>
        <w:t>.</w:t>
      </w:r>
    </w:p>
    <w:p w14:paraId="38ADF88D" w14:textId="77777777" w:rsidR="00640082" w:rsidRDefault="00640082" w:rsidP="00084032">
      <w:pPr>
        <w:pStyle w:val="NormalWeb"/>
        <w:spacing w:before="0" w:beforeAutospacing="0" w:after="0" w:afterAutospacing="0"/>
        <w:ind w:left="720" w:firstLine="720"/>
        <w:jc w:val="both"/>
        <w:rPr>
          <w:sz w:val="20"/>
          <w:szCs w:val="20"/>
          <w:lang w:val="id-ID"/>
        </w:rPr>
      </w:pPr>
      <w:r w:rsidRPr="00AF4967">
        <w:rPr>
          <w:sz w:val="20"/>
          <w:szCs w:val="20"/>
        </w:rPr>
        <w:t xml:space="preserve">One of the effects of excessive use of the internet, especially to seek health information, is the increased risk of health-related anxiety, which is often referred to as </w:t>
      </w:r>
      <w:r w:rsidRPr="00AF4967">
        <w:rPr>
          <w:i/>
          <w:iCs/>
          <w:sz w:val="20"/>
          <w:szCs w:val="20"/>
        </w:rPr>
        <w:t xml:space="preserve">health anxiety </w:t>
      </w:r>
      <w:r>
        <w:rPr>
          <w:rStyle w:val="FootnoteReference"/>
          <w:i/>
          <w:iCs/>
          <w:sz w:val="20"/>
          <w:szCs w:val="20"/>
        </w:rPr>
        <w:fldChar w:fldCharType="begin" w:fldLock="1"/>
      </w:r>
      <w:r>
        <w:rPr>
          <w:iCs/>
          <w:sz w:val="20"/>
          <w:szCs w:val="20"/>
        </w:rPr>
        <w:instrText>ADDIN CSL_CITATION {"citationItems":[{"id":"ITEM-1","itemData":{"DOI":"https://doi.org/10.5958/0974-360X.2019.01028.X","author":[{"dropping-particle":"","family":"Kristina","given":"Susi Ari","non-dropping-particle":"","parse-names":false,"suffix":""},{"dropping-particle":"","family":"Ekasari","given":"Marlita Putri","non-dropping-particle":"","parse-names":false,"suffix":""},{"dropping-particle":"","family":"Wati","given":"Muvita Rina","non-dropping-particle":"","parse-names":false,"suffix":""}],"container-title":"Research J. Pharm. and Tech.","id":"ITEM-1","issue":"12","issued":{"date-parts":[["2019"]]},"title":"Internet use for searching information on Health and Medicine: An Exploratory study among Indonesian customers","type":"article-journal","volume":"12"},"uris":["http://www.mendeley.com/documents/?uuid=2f25f5ac-cfc1-43b3-9bea-43b9f806a258"]}],"mendeley":{"formattedCitation":"(Kristina et al., 2019)","plainTextFormattedCitation":"(Kristina et al., 2019)","previouslyFormattedCitation":"(Kristina et al., 2019)"},"properties":{"noteIndex":0},"schema":"https://github.com/citation-style-language/schema/raw/master/csl-citation.json"}</w:instrText>
      </w:r>
      <w:r>
        <w:rPr>
          <w:rStyle w:val="FootnoteReference"/>
          <w:i/>
          <w:iCs/>
          <w:sz w:val="20"/>
          <w:szCs w:val="20"/>
        </w:rPr>
        <w:fldChar w:fldCharType="separate"/>
      </w:r>
      <w:r w:rsidRPr="009427D2">
        <w:rPr>
          <w:iCs/>
          <w:noProof/>
          <w:sz w:val="20"/>
          <w:szCs w:val="20"/>
        </w:rPr>
        <w:t>(Kristina et al., 2019)</w:t>
      </w:r>
      <w:r>
        <w:rPr>
          <w:rStyle w:val="FootnoteReference"/>
          <w:i/>
          <w:iCs/>
          <w:sz w:val="20"/>
          <w:szCs w:val="20"/>
        </w:rPr>
        <w:fldChar w:fldCharType="end"/>
      </w:r>
      <w:r w:rsidRPr="00AF4967">
        <w:rPr>
          <w:i/>
          <w:iCs/>
          <w:sz w:val="20"/>
          <w:szCs w:val="20"/>
        </w:rPr>
        <w:t xml:space="preserve">. Health anxiety </w:t>
      </w:r>
      <w:r w:rsidRPr="00AF4967">
        <w:rPr>
          <w:sz w:val="20"/>
          <w:szCs w:val="20"/>
        </w:rPr>
        <w:t xml:space="preserve">It arises when a person misinterprets things that are considered threatening to their health, either from within such as physical symptoms, or from outside such as media reports about a health condition </w:t>
      </w:r>
      <w:r>
        <w:rPr>
          <w:rStyle w:val="FootnoteReference"/>
          <w:sz w:val="20"/>
          <w:szCs w:val="20"/>
        </w:rPr>
        <w:fldChar w:fldCharType="begin" w:fldLock="1"/>
      </w:r>
      <w:r>
        <w:rPr>
          <w:sz w:val="20"/>
          <w:szCs w:val="20"/>
        </w:rPr>
        <w:instrText>ADDIN CSL_CITATION {"citationItems":[{"id":"ITEM-1","itemData":{"DOI":"10.1080/17512786.2020.1824586","ISSN":"17512794","abstract":"Introduced and popularized by the news media, cyberchondria refers to excessive online health information searches associated with escalation of health anxiety. It has since received attention from researchers and health professionals. While many studies have focused on investigating the relationship between increased health anxiety and excessive online information seeking as well as factors associated with cyberchondria, there remains little knowledge regarding how the media represent cyberchondria, despite the fact that cyberchondria as a term was popularized by the news media. Through a discourse analysis of 148 news articles, this exploratory study examines the ways the news media defined and portrayed cyberchondria. While news coverage offers various ways to define and label cyberchondria, many news reports recognize that cyberchondria is a multi-level issue that requires multidimensional efforts from patients, doctors and technologies.","author":[{"dropping-particle":"","family":"Zheng","given":"Han","non-dropping-particle":"","parse-names":false,"suffix":""},{"dropping-particle":"","family":"Tandoc","given":"Edson C.","non-dropping-particle":"","parse-names":false,"suffix":""}],"container-title":"Journalism Practice","id":"ITEM-1","issue":"5","issued":{"date-parts":[["2022"]]},"page":"1001-1017","title":"Calling Dr. Internet: Analyzing News Coverage of Cyberchondria","type":"article-journal","volume":"16"},"uris":["http://www.mendeley.com/documents/?uuid=45830011-682a-4c18-9aa9-6f21bd329a91"]}],"mendeley":{"formattedCitation":"(Zheng &amp; Tandoc, 2022)","plainTextFormattedCitation":"(Zheng &amp; Tandoc, 2022)","previouslyFormattedCitation":"(Zheng &amp; Tandoc, 2022)"},"properties":{"noteIndex":0},"schema":"https://github.com/citation-style-language/schema/raw/master/csl-citation.json"}</w:instrText>
      </w:r>
      <w:r>
        <w:rPr>
          <w:rStyle w:val="FootnoteReference"/>
          <w:sz w:val="20"/>
          <w:szCs w:val="20"/>
        </w:rPr>
        <w:fldChar w:fldCharType="separate"/>
      </w:r>
      <w:r w:rsidRPr="00DD57E7">
        <w:rPr>
          <w:bCs/>
          <w:noProof/>
          <w:sz w:val="20"/>
          <w:szCs w:val="20"/>
        </w:rPr>
        <w:t>(Zheng &amp; Tandoc, 2022)</w:t>
      </w:r>
      <w:r>
        <w:rPr>
          <w:rStyle w:val="FootnoteReference"/>
          <w:sz w:val="20"/>
          <w:szCs w:val="20"/>
        </w:rPr>
        <w:fldChar w:fldCharType="end"/>
      </w:r>
      <w:r w:rsidRPr="00AF4967">
        <w:rPr>
          <w:sz w:val="20"/>
          <w:szCs w:val="20"/>
        </w:rPr>
        <w:t xml:space="preserve">. This then triggers the formation of irrational beliefs related to certain diseases. </w:t>
      </w:r>
    </w:p>
    <w:p w14:paraId="0524FB77" w14:textId="77777777" w:rsidR="00640082" w:rsidRPr="00AF4967" w:rsidRDefault="00640082" w:rsidP="00AF4967">
      <w:pPr>
        <w:pStyle w:val="NormalWeb"/>
        <w:spacing w:before="0" w:beforeAutospacing="0" w:after="0" w:afterAutospacing="0"/>
        <w:ind w:left="720" w:firstLine="720"/>
        <w:jc w:val="both"/>
        <w:rPr>
          <w:sz w:val="20"/>
          <w:szCs w:val="20"/>
        </w:rPr>
      </w:pPr>
      <w:r>
        <w:rPr>
          <w:sz w:val="20"/>
          <w:szCs w:val="20"/>
        </w:rPr>
        <w:t xml:space="preserve">The rapid use of the internet to find health information is no longer concentrated in big cities, but has also begun to occur in rural areas, one of which is </w:t>
      </w:r>
      <w:proofErr w:type="spellStart"/>
      <w:r>
        <w:rPr>
          <w:sz w:val="20"/>
          <w:szCs w:val="20"/>
        </w:rPr>
        <w:t>Palopo</w:t>
      </w:r>
      <w:proofErr w:type="spellEnd"/>
      <w:r>
        <w:rPr>
          <w:sz w:val="20"/>
          <w:szCs w:val="20"/>
        </w:rPr>
        <w:t xml:space="preserve"> City. </w:t>
      </w:r>
      <w:r>
        <w:rPr>
          <w:color w:val="000000"/>
          <w:sz w:val="20"/>
          <w:szCs w:val="20"/>
        </w:rPr>
        <w:t xml:space="preserve">Most parents in </w:t>
      </w:r>
      <w:proofErr w:type="spellStart"/>
      <w:r>
        <w:rPr>
          <w:color w:val="000000"/>
          <w:sz w:val="20"/>
          <w:szCs w:val="20"/>
        </w:rPr>
        <w:t>Palopo</w:t>
      </w:r>
      <w:proofErr w:type="spellEnd"/>
      <w:r>
        <w:rPr>
          <w:color w:val="000000"/>
          <w:sz w:val="20"/>
          <w:szCs w:val="20"/>
        </w:rPr>
        <w:t xml:space="preserve"> City are more active in seeking information about </w:t>
      </w:r>
      <w:r w:rsidRPr="00025B8F">
        <w:rPr>
          <w:color w:val="000000"/>
          <w:sz w:val="20"/>
          <w:szCs w:val="20"/>
        </w:rPr>
        <w:t>stunting</w:t>
      </w:r>
      <w:r>
        <w:rPr>
          <w:color w:val="000000"/>
          <w:sz w:val="20"/>
          <w:szCs w:val="20"/>
        </w:rPr>
        <w:t xml:space="preserve"> through the internet, especially after finding out that their child has been diagnosed </w:t>
      </w:r>
      <w:r w:rsidRPr="009427D2">
        <w:rPr>
          <w:i/>
          <w:iCs/>
          <w:color w:val="000000"/>
          <w:sz w:val="20"/>
          <w:szCs w:val="20"/>
        </w:rPr>
        <w:t xml:space="preserve">with </w:t>
      </w:r>
      <w:r w:rsidRPr="00025B8F">
        <w:rPr>
          <w:color w:val="000000"/>
          <w:sz w:val="20"/>
          <w:szCs w:val="20"/>
        </w:rPr>
        <w:t>stunting</w:t>
      </w:r>
      <w:r>
        <w:rPr>
          <w:color w:val="000000"/>
          <w:sz w:val="20"/>
          <w:szCs w:val="20"/>
        </w:rPr>
        <w:t>. In fact, many parents avoid visiting health centers or other health centers because they feel more confident in information obtained from cyberspace.</w:t>
      </w:r>
    </w:p>
    <w:p w14:paraId="76CFA738" w14:textId="77777777" w:rsidR="00640082" w:rsidRDefault="00640082" w:rsidP="00822392">
      <w:pPr>
        <w:pStyle w:val="NormalWeb"/>
        <w:spacing w:before="0" w:beforeAutospacing="0" w:after="0" w:afterAutospacing="0"/>
        <w:ind w:left="720" w:firstLine="720"/>
        <w:jc w:val="both"/>
        <w:rPr>
          <w:color w:val="000000"/>
          <w:sz w:val="20"/>
          <w:szCs w:val="20"/>
        </w:rPr>
      </w:pPr>
      <w:r>
        <w:rPr>
          <w:color w:val="000000"/>
          <w:sz w:val="20"/>
          <w:szCs w:val="20"/>
        </w:rPr>
        <w:t xml:space="preserve">Parents' preference to rely on information from </w:t>
      </w:r>
      <w:proofErr w:type="gramStart"/>
      <w:r>
        <w:rPr>
          <w:color w:val="000000"/>
          <w:sz w:val="20"/>
          <w:szCs w:val="20"/>
        </w:rPr>
        <w:t>this poses</w:t>
      </w:r>
      <w:proofErr w:type="gramEnd"/>
      <w:r>
        <w:rPr>
          <w:color w:val="000000"/>
          <w:sz w:val="20"/>
          <w:szCs w:val="20"/>
        </w:rPr>
        <w:t xml:space="preserve"> various challenges in the context of health literacy. Information on the internet often varies in quality, with a large amount of content that may not be based on scientific evidence or updated regularly </w:t>
      </w:r>
      <w:r>
        <w:rPr>
          <w:rStyle w:val="FootnoteReference"/>
          <w:color w:val="000000"/>
          <w:sz w:val="20"/>
          <w:szCs w:val="20"/>
        </w:rPr>
        <w:fldChar w:fldCharType="begin" w:fldLock="1"/>
      </w:r>
      <w:r>
        <w:rPr>
          <w:color w:val="000000"/>
          <w:sz w:val="20"/>
          <w:szCs w:val="20"/>
        </w:rPr>
        <w:instrText>ADDIN CSL_CITATION {"citationItems":[{"id":"ITEM-1","itemData":{"DOI":"10.57207/lentera.v2i2.27","abstract":"Literasi kesehatan digital merupakan kemampuan untuk mencari, menemukan, memahami dan menafsir informasi kesehatan dari sumber elektronik dan menerapkan pengetahuan yang diperoleh untuk mengatasi atau memecahkan masalah kesehatan. Tujuan dari penelitian ini adalah untuk menelaah penggunaan literasi kesehatan digital, pada mahasiswa Fakultas Kesehatan Masyarakat, Universitas Sam Ratulangi. Penelitian dilakukan secara daring, melalui metode survey deskriptif, dengan desain studi potong lintang. Penelitian diikuti oleh 232 responden yang dilaksanakan pada minggu ke 2 bulan Desember 2021. Hasil penelitian : sebagian besar responden mengetahui mengenai DHL; internet adalah sarana terbanyak dalam mendapatkan informasi mengenai kesehatan, dalam mencari dan membaca DHL; sebagian besar responden tidak menentu dalam meluangkan waktunya; telepon pintar merupakan media terfavorit untuk mendapatkan DHL; situs/alamat seperti WHO/badan dunia lain banyak dikunjungi responden dalam mengakses DHL; topik terkini seperti pandemi Covid-19 banyak dicari oleh mereka; untuk keperluan pembelajaran adalah pilihan terbanyak yang dipilih dalam mencari dan menyimpan DHL; responden sebagian besar tidak selalu menyimpan DHLnya; dan responden merasa bahwa DHL adalah hal sangat penting bagi mereka.","author":[{"dropping-particle":"","family":"Adam","given":"Hilman","non-dropping-particle":"","parse-names":false,"suffix":""}],"container-title":"Jurnal Lentera - Penelitian dan Pengabdian Masyarakat","id":"ITEM-1","issue":"2","issued":{"date-parts":[["2022"]]},"page":"27-30","title":"Telaah Penggunaan Literasi Kesehatan Digital Pada Mahasiswa Fakultas Kesehatan Masyarakat Universitas Sam Ratulangi","type":"article-journal","volume":"2"},"uris":["http://www.mendeley.com/documents/?uuid=dd5d8f0f-af47-464f-b249-62136594ffad"]}],"mendeley":{"formattedCitation":"(Adam, 2022)","plainTextFormattedCitation":"(Adam, 2022)","previouslyFormattedCitation":"(Adam, 2022)"},"properties":{"noteIndex":0},"schema":"https://github.com/citation-style-language/schema/raw/master/csl-citation.json"}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(Adam, 2022)</w:t>
      </w:r>
      <w:r>
        <w:rPr>
          <w:rStyle w:val="FootnoteReference"/>
          <w:color w:val="000000"/>
          <w:sz w:val="20"/>
          <w:szCs w:val="20"/>
        </w:rPr>
        <w:fldChar w:fldCharType="end"/>
      </w:r>
      <w:r>
        <w:rPr>
          <w:color w:val="000000"/>
          <w:sz w:val="20"/>
          <w:szCs w:val="20"/>
        </w:rPr>
        <w:t xml:space="preserve">. A lack of understanding of how to filter and assess the accuracy of online information makes parents vulnerable to misinformation, which ultimately affects their health decision-making </w:t>
      </w:r>
      <w:r>
        <w:rPr>
          <w:rStyle w:val="FootnoteReference"/>
          <w:color w:val="000000"/>
          <w:sz w:val="20"/>
          <w:szCs w:val="20"/>
        </w:rPr>
        <w:fldChar w:fldCharType="begin" w:fldLock="1"/>
      </w:r>
      <w:r>
        <w:rPr>
          <w:color w:val="000000"/>
          <w:sz w:val="20"/>
          <w:szCs w:val="20"/>
        </w:rPr>
        <w:instrText>ADDIN CSL_CITATION {"citationItems":[{"id":"ITEM-1","itemData":{"DOI":"https://doi.org/10.33221/jikm.v12i06.3232","author":[{"dropping-particle":"","family":"Syafei","given":"Abdullah","non-dropping-particle":"","parse-names":false,"suffix":""}],"container-title":"Jurnal Ilmu Kesehatan Masyarakat","id":"ITEM-1","issue":"50","issued":{"date-parts":[["2023"]]},"page":"545-553","title":"Literasi Kesehatan Digital, Faktor yang Mempengaruhi, dan Hubungannya dengan Perilaku Kesehatan: Scoping Review","type":"article-journal","volume":"6"},"uris":["http://www.mendeley.com/documents/?uuid=4d3df919-e3fe-4715-91a8-2931a2d4098a"]}],"mendeley":{"formattedCitation":"(Syafei, 2023)","plainTextFormattedCitation":"(Syafei, 2023)","previouslyFormattedCitation":"(Syafei, 2023)"},"properties":{"noteIndex":0},"schema":"https://github.com/citation-style-language/schema/raw/master/csl-citation.json"}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(Syafei, 2023)</w:t>
      </w:r>
      <w:r>
        <w:rPr>
          <w:rStyle w:val="FootnoteReference"/>
          <w:color w:val="000000"/>
          <w:sz w:val="20"/>
          <w:szCs w:val="20"/>
        </w:rPr>
        <w:fldChar w:fldCharType="end"/>
      </w:r>
      <w:r>
        <w:rPr>
          <w:color w:val="000000"/>
          <w:sz w:val="20"/>
          <w:szCs w:val="20"/>
        </w:rPr>
        <w:t>.</w:t>
      </w:r>
    </w:p>
    <w:p w14:paraId="174F08E1" w14:textId="77777777" w:rsidR="00640082" w:rsidRDefault="00640082" w:rsidP="00E662EA">
      <w:pPr>
        <w:pStyle w:val="NormalWeb"/>
        <w:spacing w:before="0" w:beforeAutospacing="0" w:after="0" w:afterAutospacing="0"/>
        <w:ind w:left="720" w:firstLine="720"/>
        <w:jc w:val="both"/>
        <w:rPr>
          <w:color w:val="000000"/>
          <w:sz w:val="20"/>
          <w:szCs w:val="20"/>
        </w:rPr>
      </w:pPr>
      <w:r>
        <w:rPr>
          <w:color w:val="000000"/>
          <w:sz w:val="20"/>
          <w:szCs w:val="20"/>
        </w:rPr>
        <w:t xml:space="preserve">This phenomenon needs attention, because low health literacy in seeking and understanding information related to </w:t>
      </w:r>
      <w:r w:rsidRPr="00025B8F">
        <w:rPr>
          <w:color w:val="000000"/>
          <w:sz w:val="20"/>
          <w:szCs w:val="20"/>
        </w:rPr>
        <w:t>stunting</w:t>
      </w:r>
      <w:r>
        <w:rPr>
          <w:color w:val="000000"/>
          <w:sz w:val="20"/>
          <w:szCs w:val="20"/>
        </w:rPr>
        <w:t xml:space="preserve"> can worsen the health conditions of affected children. This study will analyze how the behavior of online information about </w:t>
      </w:r>
      <w:r w:rsidRPr="00025B8F">
        <w:rPr>
          <w:color w:val="000000"/>
          <w:sz w:val="20"/>
          <w:szCs w:val="20"/>
        </w:rPr>
        <w:t>stunting</w:t>
      </w:r>
      <w:r w:rsidRPr="009427D2">
        <w:rPr>
          <w:i/>
          <w:iCs/>
          <w:color w:val="000000"/>
          <w:sz w:val="20"/>
          <w:szCs w:val="20"/>
        </w:rPr>
        <w:t xml:space="preserve"> </w:t>
      </w:r>
      <w:r>
        <w:rPr>
          <w:color w:val="000000"/>
          <w:sz w:val="20"/>
          <w:szCs w:val="20"/>
        </w:rPr>
        <w:t xml:space="preserve">and to explore the factors that make parents in </w:t>
      </w:r>
      <w:proofErr w:type="spellStart"/>
      <w:r>
        <w:rPr>
          <w:color w:val="000000"/>
          <w:sz w:val="20"/>
          <w:szCs w:val="20"/>
        </w:rPr>
        <w:t>Palopo</w:t>
      </w:r>
      <w:proofErr w:type="spellEnd"/>
      <w:r>
        <w:rPr>
          <w:color w:val="000000"/>
          <w:sz w:val="20"/>
          <w:szCs w:val="20"/>
        </w:rPr>
        <w:t xml:space="preserve"> prefer the internet as a source of health information.</w:t>
      </w:r>
    </w:p>
    <w:p w14:paraId="4E146B31" w14:textId="77777777" w:rsidR="00640082" w:rsidRDefault="00640082" w:rsidP="00C93575">
      <w:pPr>
        <w:pStyle w:val="NormalWeb"/>
        <w:spacing w:before="0" w:beforeAutospacing="0" w:after="0" w:afterAutospacing="0"/>
        <w:ind w:left="720" w:firstLine="720"/>
        <w:jc w:val="both"/>
        <w:rPr>
          <w:color w:val="000000"/>
          <w:sz w:val="20"/>
          <w:szCs w:val="20"/>
        </w:rPr>
      </w:pPr>
    </w:p>
    <w:p w14:paraId="00610D46" w14:textId="77777777" w:rsidR="00640082" w:rsidRPr="00C93575" w:rsidRDefault="00640082" w:rsidP="00C93575">
      <w:pPr>
        <w:pStyle w:val="NormalWeb"/>
        <w:spacing w:before="0" w:beforeAutospacing="0" w:after="0" w:afterAutospacing="0"/>
        <w:ind w:left="720" w:firstLine="720"/>
        <w:jc w:val="both"/>
        <w:rPr>
          <w:color w:val="000000"/>
          <w:sz w:val="20"/>
          <w:szCs w:val="20"/>
        </w:rPr>
      </w:pPr>
    </w:p>
    <w:p w14:paraId="2646DB12" w14:textId="77777777" w:rsidR="00640082" w:rsidRPr="007B43A3" w:rsidRDefault="00640082" w:rsidP="00640082">
      <w:pPr>
        <w:pStyle w:val="ListParagraph"/>
        <w:numPr>
          <w:ilvl w:val="0"/>
          <w:numId w:val="2"/>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rPr>
        <w:t>Methods</w:t>
      </w:r>
    </w:p>
    <w:p w14:paraId="074F1491" w14:textId="77777777" w:rsidR="00640082" w:rsidRDefault="00640082" w:rsidP="00A25B15">
      <w:pPr>
        <w:spacing w:line="240" w:lineRule="auto"/>
        <w:ind w:left="717" w:firstLine="363"/>
        <w:rPr>
          <w:rFonts w:ascii="Times New Roman" w:hAnsi="Times New Roman" w:cs="Times New Roman"/>
          <w:sz w:val="20"/>
          <w:szCs w:val="20"/>
        </w:rPr>
      </w:pPr>
      <w:r w:rsidRPr="000422AD">
        <w:rPr>
          <w:rFonts w:ascii="Times New Roman" w:hAnsi="Times New Roman" w:cs="Times New Roman"/>
          <w:sz w:val="20"/>
          <w:szCs w:val="20"/>
        </w:rPr>
        <w:t xml:space="preserve">This research uses a qualitative method with a case study approach </w:t>
      </w:r>
      <w:r>
        <w:rPr>
          <w:rStyle w:val="FootnoteReference"/>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{"citationItems":[{"id":"ITEM-1","itemData":{"ISBN":"979-8120-69-8","author":[{"dropping-particle":"","family":"Spradley","given":"James P","non-dropping-particle":"","parse-names":false,"suffix":""}],"edition":"Kedua","id":"ITEM-1","issued":{"date-parts":[["2006"]]},"publisher":"Tiara Wacana","publisher-place":"Yogyakarta","title":"Metode Etnografi","type":"book"},"uris":["http://www.mendeley.com/documents/?uuid=79dc8e48-3569-4e29-98f7-45072be27963"]}],"mendeley":{"formattedCitation":"(Spradley, 2006)","plainTextFormattedCitation":"(Spradley, 2006)","previouslyFormattedCitation":"(Spradley, 2006)"},"properties":{"noteIndex":0},"schema":"https://github.com/citation-style-language/schema/raw/master/csl-citation.json"}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DD57E7">
        <w:rPr>
          <w:rFonts w:ascii="Times New Roman" w:hAnsi="Times New Roman" w:cs="Times New Roman"/>
          <w:noProof/>
          <w:sz w:val="20"/>
          <w:szCs w:val="20"/>
        </w:rPr>
        <w:t>(Spradley, 2006)</w:t>
      </w:r>
      <w:r>
        <w:rPr>
          <w:rStyle w:val="FootnoteReference"/>
          <w:rFonts w:ascii="Times New Roman" w:hAnsi="Times New Roman" w:cs="Times New Roman"/>
          <w:sz w:val="20"/>
          <w:szCs w:val="20"/>
        </w:rPr>
        <w:fldChar w:fldCharType="end"/>
      </w:r>
      <w:r w:rsidRPr="000422AD">
        <w:rPr>
          <w:rFonts w:ascii="Times New Roman" w:hAnsi="Times New Roman" w:cs="Times New Roman"/>
          <w:sz w:val="20"/>
          <w:szCs w:val="20"/>
        </w:rPr>
        <w:t xml:space="preserve">, which was held in Palopo City. This research involved five informants, namely parents who have children </w:t>
      </w:r>
      <w:r w:rsidRPr="00025B8F">
        <w:rPr>
          <w:rFonts w:ascii="Times New Roman" w:hAnsi="Times New Roman" w:cs="Times New Roman"/>
          <w:sz w:val="20"/>
          <w:szCs w:val="20"/>
        </w:rPr>
        <w:t>stunting</w:t>
      </w:r>
      <w:r>
        <w:rPr>
          <w:rFonts w:ascii="Times New Roman" w:hAnsi="Times New Roman" w:cs="Times New Roman"/>
          <w:sz w:val="20"/>
          <w:szCs w:val="20"/>
        </w:rPr>
        <w:t xml:space="preserve">. Data were collected through observation, semi-structured interviews </w:t>
      </w:r>
      <w:r>
        <w:rPr>
          <w:rStyle w:val="FootnoteReference"/>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Sugiyono","given":"","non-dropping-particle":"","parse-names":false,"suffix":""}],"id":"ITEM-1","issued":{"date-parts":[["2010"]]},"publisher":"Alfabeta","publisher-place":"Bandung","title":"Metode Penelitian Kuantitatif Kualitatif dan R &amp; D","type":"book"},"uris":["http://www.mendeley.com/documents/?uuid=214b99d7-dd64-469d-a8e1-f7eb06b985fd"]}],"mendeley":{"formattedCitation":"(Sugiyono, 2010)","manualFormatting":"(Suggestion, 2010)","plainTextFormattedCitation":"(Sugiyono, 2010)","previouslyFormattedCitation":"(Sugiyono, 2010)"},"properties":{"noteIndex":0},"schema":"https://github.com/citation-style-language/schema/raw/master/csl-citation.json"}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DD57E7">
        <w:rPr>
          <w:rFonts w:ascii="Times New Roman" w:hAnsi="Times New Roman" w:cs="Times New Roman"/>
          <w:noProof/>
          <w:sz w:val="20"/>
          <w:szCs w:val="20"/>
        </w:rPr>
        <w:t>(Suggestion, 2010)</w:t>
      </w:r>
      <w:r>
        <w:rPr>
          <w:rStyle w:val="FootnoteReference"/>
          <w:rFonts w:ascii="Times New Roman" w:hAnsi="Times New Roman" w:cs="Times New Roman"/>
          <w:sz w:val="20"/>
          <w:szCs w:val="20"/>
        </w:rPr>
        <w:fldChar w:fldCharType="end"/>
      </w:r>
      <w:r w:rsidRPr="000422AD">
        <w:rPr>
          <w:rFonts w:ascii="Times New Roman" w:hAnsi="Times New Roman" w:cs="Times New Roman"/>
          <w:sz w:val="20"/>
          <w:szCs w:val="20"/>
        </w:rPr>
        <w:t xml:space="preserve">, and audio-visual documentation </w:t>
      </w:r>
      <w:r>
        <w:rPr>
          <w:rStyle w:val="FootnoteReference"/>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{"citationItems":[{"id":"ITEM-1","itemData":{"ISBN":"978-602-8764-84-1","author":[{"dropping-particle":"","family":"Creswell","given":"John W.","non-dropping-particle":"","parse-names":false,"suffix":""}],"id":"ITEM-1","issued":{"date-parts":[["2010"]]},"publisher":"Pustaka Pelajar","publisher-place":"Yogyakarta","title":"Research Design: Pendekatan Kualitatif, Kuantitatif, dan Mixed","type":"book"},"uris":["http://www.mendeley.com/documents/?uuid=33279479-9259-493f-9719-4a36aa410f1a"]}],"mendeley":{"formattedCitation":"(Creswell, 2010)","plainTextFormattedCitation":"(Creswell, 2010)","previouslyFormattedCitation":"(Creswell, 2010)"},"properties":{"noteIndex":0},"schema":"https://github.com/citation-style-language/schema/raw/master/csl-citation.json"}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DD57E7">
        <w:rPr>
          <w:rFonts w:ascii="Times New Roman" w:hAnsi="Times New Roman" w:cs="Times New Roman"/>
          <w:noProof/>
          <w:sz w:val="20"/>
          <w:szCs w:val="20"/>
        </w:rPr>
        <w:t>(Creswell, 2010)</w:t>
      </w:r>
      <w:r>
        <w:rPr>
          <w:rStyle w:val="FootnoteReference"/>
          <w:rFonts w:ascii="Times New Roman" w:hAnsi="Times New Roman" w:cs="Times New Roman"/>
          <w:sz w:val="20"/>
          <w:szCs w:val="20"/>
        </w:rPr>
        <w:fldChar w:fldCharType="end"/>
      </w:r>
      <w:r w:rsidRPr="000422AD">
        <w:rPr>
          <w:rFonts w:ascii="Times New Roman" w:hAnsi="Times New Roman" w:cs="Times New Roman"/>
          <w:sz w:val="20"/>
          <w:szCs w:val="20"/>
        </w:rPr>
        <w:t>. The data analysis process begins with preparing the data for analysis. The collected data is then transcribed from the results of the interviews, followed by a coding process to categorize the data. After that, the data is reduced based on the formulation of the research problem, so that it can answer the research question. The results of the study were then analyzed using Emile Durkheim's theory of structural functionalism, which was then presented in the form of a narrative text (</w:t>
      </w:r>
      <w:r w:rsidRPr="00BE2839">
        <w:rPr>
          <w:rFonts w:ascii="Times New Roman" w:hAnsi="Times New Roman" w:cs="Times New Roman"/>
          <w:i/>
          <w:iCs/>
          <w:sz w:val="20"/>
          <w:szCs w:val="20"/>
        </w:rPr>
        <w:t>display data</w:t>
      </w:r>
      <w:r w:rsidRPr="000422AD">
        <w:rPr>
          <w:rFonts w:ascii="Times New Roman" w:hAnsi="Times New Roman" w:cs="Times New Roman"/>
          <w:sz w:val="20"/>
          <w:szCs w:val="20"/>
        </w:rPr>
        <w:t>), followed by interpretation and drawing conclusions from the data that has been obtained and analyzed.</w:t>
      </w:r>
    </w:p>
    <w:p w14:paraId="7FD4A410" w14:textId="77777777" w:rsidR="00640082" w:rsidRDefault="00640082" w:rsidP="00A25B15">
      <w:pPr>
        <w:spacing w:line="240" w:lineRule="auto"/>
        <w:ind w:left="717" w:firstLine="363"/>
        <w:rPr>
          <w:rFonts w:ascii="Times New Roman" w:hAnsi="Times New Roman" w:cs="Times New Roman"/>
          <w:sz w:val="20"/>
          <w:szCs w:val="20"/>
        </w:rPr>
      </w:pPr>
      <w:r w:rsidRPr="000444E1">
        <w:rPr>
          <w:rFonts w:ascii="Times New Roman" w:hAnsi="Times New Roman" w:cs="Times New Roman"/>
          <w:sz w:val="20"/>
          <w:szCs w:val="20"/>
        </w:rPr>
        <w:t>Structural functionalism is one of the main approaches in sociology and was developed by Emile Durkheim, one of the founders of this field. This approach aims to understand society as a system of various interconnected elements or parts, each of which has certain functions that are important for the continuity and order of the entire system</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{"citationItems":[{"id":"ITEM-1","itemData":{"DOI":"https://doi.org/10.1057/9781137391865_3","ISBN":"978-1-137-39186-5","author":[{"dropping-particle":"","family":"Gofman","given":"Alexander","non-dropping-particle":"","parse-names":false,"suffix":""}],"container-title":"The Palgrave Handbook of Altruism, Morality, and Social Solidarity","editor":[{"dropping-particle":"","family":"Jeffries","given":"Vincent","non-dropping-particle":"","parse-names":false,"suffix":""}],"id":"ITEM-1","issued":{"date-parts":[["2014"]]},"page":"45-69","publisher":"Palgrave Macmillan","publisher-place":"New York","title":"Durkheim’s Theory of Social Solidarity and Social Rules","type":"chapter"},"uris":["http://www.mendeley.com/documents/?uuid=1ce23872-e0ec-43f3-89ab-9221f9ee32af"]}],"mendeley":{"formattedCitation":"(Gofman, 2014)","plainTextFormattedCitation":"(Gofman, 2014)","previouslyFormattedCitation":"(Gofman, 2014)"},"properties":{"noteIndex":0},"schema":"https://github.com/citation-style-language/schema/raw/master/csl-citation.json"}</w:instrText>
      </w:r>
      <w:r>
        <w:rPr>
          <w:rFonts w:ascii="Times New Roman" w:hAnsi="Times New Roman" w:cs="Times New Roman"/>
          <w:sz w:val="20"/>
          <w:szCs w:val="20"/>
        </w:rPr>
        <w:fldChar w:fldCharType="separate"/>
      </w:r>
      <w:r w:rsidRPr="00C31924">
        <w:rPr>
          <w:rFonts w:ascii="Times New Roman" w:hAnsi="Times New Roman" w:cs="Times New Roman"/>
          <w:noProof/>
          <w:sz w:val="20"/>
          <w:szCs w:val="20"/>
        </w:rPr>
        <w:t>(Gofman, 2014)</w:t>
      </w:r>
      <w:r>
        <w:rPr>
          <w:rFonts w:ascii="Times New Roman" w:hAnsi="Times New Roman" w:cs="Times New Roman"/>
          <w:sz w:val="20"/>
          <w:szCs w:val="20"/>
        </w:rPr>
        <w:fldChar w:fldCharType="end"/>
      </w:r>
      <w:r w:rsidRPr="000444E1">
        <w:rPr>
          <w:rFonts w:ascii="Times New Roman" w:hAnsi="Times New Roman" w:cs="Times New Roman"/>
          <w:sz w:val="20"/>
          <w:szCs w:val="20"/>
        </w:rPr>
        <w:t>. Durkheim explained that social structure influences individual lives and how social elements work together to maintain social stability and cohesion. Society is not just a collection of individuals. He likens society to an organism in which each part plays a certain role in supporting the functioning of the whole</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{"citationItems":[{"id":"ITEM-1","itemData":{"DOI":"https://doi.org/10.1177/0004865815585391","ISSN":"18379273","abstract":"In contemporary criminology, the proposal of a relationship between anomie and crime typically is traced to the work of Émile Durkheim. Yet, despite the prominence of anomie theory in this field, Durkheim’s theory of anomie and crime has not been carefully explicated and elaborated. Durkheim did not provide an extensive discussion of how anomie affects crime rates, and he certainly did not present anomie as the only cause of crime. Nonetheless, a careful examination of his rather elusive concept of anomie, together with a few small inferences, yields a relatively coherent theory of crime that differs from the popular interpretations of his work. The analysis begins with an inquiry into five different conceptions of anomie that can be abstracted from Durkheim’s writings. This is followed by an examination of what he implied regarding anomie as a cause of property crime, violent crime, and “juvenile crime.” The final section explores the effects of anomie on criminal law—that is, on decisions to define and treat various actions as criminal. Unlike most contemporary anomie theories, Durkheim’s theory, as elaborated in this article, integrates a theory of crime causation with an account of criminal law.","author":[{"dropping-particle":"","family":"DiCristina","given":"Bruce","non-dropping-particle":"","parse-names":false,"suffix":""}],"container-title":"Australian and New Zealand Journal of Criminology","id":"ITEM-1","issue":"3","issued":{"date-parts":[["2016"]]},"page":"311-331","title":"Durkheim’s theory of anomie and crime: A clarification and elaboration","type":"article-journal","volume":"49"},"uris":["http://www.mendeley.com/documents/?uuid=c3916ccb-de02-42f4-a438-ef0cd2c57834"]}],"mendeley":{"formattedCitation":"(DiCristina, 2016)","plainTextFormattedCitation":"(DiCristina, 2016)"},"properties":{"noteIndex":0},"schema":"https://github.com/citation-style-language/schema/raw/master/csl-citation.json"}</w:instrText>
      </w:r>
      <w:r>
        <w:rPr>
          <w:rFonts w:ascii="Times New Roman" w:hAnsi="Times New Roman" w:cs="Times New Roman"/>
          <w:sz w:val="20"/>
          <w:szCs w:val="20"/>
        </w:rPr>
        <w:fldChar w:fldCharType="separate"/>
      </w:r>
      <w:r w:rsidRPr="00C31924">
        <w:rPr>
          <w:rFonts w:ascii="Times New Roman" w:hAnsi="Times New Roman" w:cs="Times New Roman"/>
          <w:noProof/>
          <w:sz w:val="20"/>
          <w:szCs w:val="20"/>
        </w:rPr>
        <w:t>(DiCristina, 2016)</w:t>
      </w:r>
      <w:r>
        <w:rPr>
          <w:rFonts w:ascii="Times New Roman" w:hAnsi="Times New Roman" w:cs="Times New Roman"/>
          <w:sz w:val="20"/>
          <w:szCs w:val="20"/>
        </w:rPr>
        <w:fldChar w:fldCharType="end"/>
      </w:r>
      <w:r w:rsidRPr="000444E1">
        <w:rPr>
          <w:rFonts w:ascii="Times New Roman" w:hAnsi="Times New Roman" w:cs="Times New Roman"/>
          <w:sz w:val="20"/>
          <w:szCs w:val="20"/>
        </w:rPr>
        <w:t>. For example, institutions such as family, education, and religion did not appear out of thin air; These institutions play an important role in maintaining social order. The family plays a role in early socialization, education provides knowledge and social values, and religion provides meaning and collective solidarity. All of these elements work together to ensure society remains stable and orderly.</w:t>
      </w:r>
      <w:r>
        <w:rPr>
          <w:rFonts w:ascii="Times New Roman" w:hAnsi="Times New Roman" w:cs="Times New Roman"/>
          <w:sz w:val="20"/>
          <w:szCs w:val="20"/>
        </w:rPr>
        <w:t xml:space="preserve">  </w:t>
      </w:r>
    </w:p>
    <w:p w14:paraId="1BA6EC28" w14:textId="77777777" w:rsidR="00640082" w:rsidRDefault="00640082" w:rsidP="00A25B15">
      <w:pPr>
        <w:spacing w:line="240" w:lineRule="auto"/>
        <w:ind w:left="717" w:firstLine="363"/>
        <w:rPr>
          <w:rFonts w:ascii="Times New Roman" w:hAnsi="Times New Roman" w:cs="Times New Roman"/>
          <w:sz w:val="20"/>
          <w:szCs w:val="20"/>
        </w:rPr>
      </w:pPr>
      <w:r w:rsidRPr="008E38CC">
        <w:rPr>
          <w:rFonts w:ascii="Times New Roman" w:hAnsi="Times New Roman" w:cs="Times New Roman"/>
          <w:sz w:val="20"/>
          <w:szCs w:val="20"/>
        </w:rPr>
        <w:t>The concept of social order is a basic premise of the theory of structural functionalism. In his work, Durkheim stated that the mechanisms of social life are like biological organisms, consisting of different organs, all interdependent. Durkheim states that this dependence is an agreement that must be made in order for the organism to survive. However, the goals of structural-functionalist theory are in line with other theories that aim to achieve social order. For Durkheim, society is a unity, a system consisting of different parts. Each part in the system must carry out its function so that the system remains balanced. Basically, every part is interconnected and interdependent</w:t>
      </w:r>
      <w:r>
        <w:rPr>
          <w:rFonts w:ascii="Times New Roman" w:hAnsi="Times New Roman" w:cs="Times New Roman"/>
          <w:sz w:val="20"/>
          <w:szCs w:val="20"/>
        </w:rPr>
        <w:t xml:space="preserve">. </w:t>
      </w:r>
    </w:p>
    <w:p w14:paraId="6DBE7533" w14:textId="77777777" w:rsidR="00640082" w:rsidRDefault="00640082" w:rsidP="00A25B15">
      <w:pPr>
        <w:spacing w:line="240" w:lineRule="auto"/>
        <w:ind w:left="717" w:firstLine="363"/>
        <w:rPr>
          <w:rFonts w:ascii="Times New Roman" w:hAnsi="Times New Roman" w:cs="Times New Roman"/>
          <w:sz w:val="20"/>
          <w:szCs w:val="20"/>
        </w:rPr>
      </w:pPr>
      <w:r>
        <w:rPr>
          <w:rFonts w:ascii="Times New Roman" w:hAnsi="Times New Roman" w:cs="Times New Roman"/>
          <w:sz w:val="20"/>
          <w:szCs w:val="20"/>
        </w:rPr>
        <w:t>One of the limitations of this research is the small number of informants, which was only five. This limited sample size may reduce the generalizability of the findings and the ability to capture diverse perspectives and experiences among parents in Palopo. Future research with a larger and more varied sample is recommended to provide a more comprehensive understanding of the phenomenon studied.</w:t>
      </w:r>
    </w:p>
    <w:p w14:paraId="1B9C1D96" w14:textId="77777777" w:rsidR="00640082" w:rsidRDefault="00640082" w:rsidP="00A25B15">
      <w:pPr>
        <w:spacing w:line="240" w:lineRule="auto"/>
        <w:ind w:left="717" w:firstLine="363"/>
        <w:rPr>
          <w:rFonts w:ascii="Times New Roman" w:hAnsi="Times New Roman" w:cs="Times New Roman"/>
          <w:sz w:val="20"/>
          <w:szCs w:val="20"/>
        </w:rPr>
      </w:pPr>
    </w:p>
    <w:p w14:paraId="45A8391B" w14:textId="77777777" w:rsidR="00640082" w:rsidRPr="000422AD" w:rsidRDefault="00640082" w:rsidP="00A25B15">
      <w:pPr>
        <w:spacing w:line="240" w:lineRule="auto"/>
        <w:ind w:left="717" w:firstLine="363"/>
        <w:rPr>
          <w:rFonts w:ascii="Times New Roman" w:hAnsi="Times New Roman" w:cs="Times New Roman"/>
          <w:sz w:val="20"/>
          <w:szCs w:val="20"/>
        </w:rPr>
      </w:pPr>
    </w:p>
    <w:p w14:paraId="3EA307FC" w14:textId="77777777" w:rsidR="00640082" w:rsidRPr="007B43A3" w:rsidRDefault="00640082" w:rsidP="00640082">
      <w:pPr>
        <w:pStyle w:val="ListParagraph"/>
        <w:numPr>
          <w:ilvl w:val="0"/>
          <w:numId w:val="2"/>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rPr>
        <w:t>Result and Discussion</w:t>
      </w:r>
    </w:p>
    <w:p w14:paraId="0F761C1A" w14:textId="77777777" w:rsidR="00640082" w:rsidRPr="00E1677F" w:rsidRDefault="00640082" w:rsidP="00E1677F">
      <w:pPr>
        <w:pStyle w:val="NormalWeb"/>
        <w:spacing w:before="0" w:beforeAutospacing="0" w:after="0" w:afterAutospacing="0"/>
        <w:ind w:left="717"/>
        <w:jc w:val="both"/>
        <w:rPr>
          <w:color w:val="000000"/>
          <w:sz w:val="20"/>
          <w:szCs w:val="20"/>
        </w:rPr>
      </w:pPr>
      <w:r w:rsidRPr="00247D45">
        <w:rPr>
          <w:b/>
          <w:bCs/>
          <w:color w:val="000000"/>
          <w:sz w:val="20"/>
          <w:szCs w:val="20"/>
        </w:rPr>
        <w:t xml:space="preserve">Behavioral Analysis of Online Information Seeking Regarding </w:t>
      </w:r>
      <w:r w:rsidRPr="00025B8F">
        <w:rPr>
          <w:b/>
          <w:bCs/>
          <w:color w:val="000000"/>
          <w:sz w:val="20"/>
          <w:szCs w:val="20"/>
        </w:rPr>
        <w:t>Stunting</w:t>
      </w:r>
      <w:r w:rsidRPr="00247D45">
        <w:rPr>
          <w:b/>
          <w:bCs/>
          <w:color w:val="000000"/>
          <w:sz w:val="20"/>
          <w:szCs w:val="20"/>
        </w:rPr>
        <w:t xml:space="preserve"> in Parents in </w:t>
      </w:r>
      <w:proofErr w:type="spellStart"/>
      <w:r w:rsidRPr="00247D45">
        <w:rPr>
          <w:b/>
          <w:bCs/>
          <w:color w:val="000000"/>
          <w:sz w:val="20"/>
          <w:szCs w:val="20"/>
        </w:rPr>
        <w:t>Palopo</w:t>
      </w:r>
      <w:proofErr w:type="spellEnd"/>
    </w:p>
    <w:p w14:paraId="4120C4D9" w14:textId="77777777" w:rsidR="00640082" w:rsidRDefault="00640082" w:rsidP="00247D45">
      <w:pPr>
        <w:pStyle w:val="NormalWeb"/>
        <w:spacing w:before="0" w:beforeAutospacing="0" w:after="0" w:afterAutospacing="0"/>
        <w:ind w:left="717" w:firstLine="720"/>
        <w:jc w:val="both"/>
        <w:rPr>
          <w:color w:val="000000"/>
          <w:sz w:val="20"/>
          <w:szCs w:val="20"/>
          <w:lang w:val="id-ID"/>
        </w:rPr>
      </w:pPr>
      <w:r w:rsidRPr="00247D45">
        <w:rPr>
          <w:color w:val="000000"/>
          <w:sz w:val="20"/>
          <w:szCs w:val="20"/>
        </w:rPr>
        <w:t xml:space="preserve">In this study, it was found that parents in </w:t>
      </w:r>
      <w:proofErr w:type="spellStart"/>
      <w:r w:rsidRPr="00247D45">
        <w:rPr>
          <w:color w:val="000000"/>
          <w:sz w:val="20"/>
          <w:szCs w:val="20"/>
        </w:rPr>
        <w:t>Palopo</w:t>
      </w:r>
      <w:proofErr w:type="spellEnd"/>
      <w:r w:rsidRPr="00247D45">
        <w:rPr>
          <w:color w:val="000000"/>
          <w:sz w:val="20"/>
          <w:szCs w:val="20"/>
        </w:rPr>
        <w:t xml:space="preserve"> have a pattern of searching for health information that is quite active through the internet, especially regarding the topic </w:t>
      </w:r>
      <w:r w:rsidRPr="009427D2">
        <w:rPr>
          <w:i/>
          <w:iCs/>
          <w:color w:val="000000"/>
          <w:sz w:val="20"/>
          <w:szCs w:val="20"/>
        </w:rPr>
        <w:t xml:space="preserve">of </w:t>
      </w:r>
      <w:r w:rsidRPr="00025B8F">
        <w:rPr>
          <w:color w:val="000000"/>
          <w:sz w:val="20"/>
          <w:szCs w:val="20"/>
        </w:rPr>
        <w:t>stunting</w:t>
      </w:r>
      <w:r w:rsidRPr="00247D45">
        <w:rPr>
          <w:color w:val="000000"/>
          <w:sz w:val="20"/>
          <w:szCs w:val="20"/>
        </w:rPr>
        <w:t xml:space="preserve"> which they consider important for children's health and development. The majority of parents in </w:t>
      </w:r>
      <w:proofErr w:type="spellStart"/>
      <w:r w:rsidRPr="00247D45">
        <w:rPr>
          <w:color w:val="000000"/>
          <w:sz w:val="20"/>
          <w:szCs w:val="20"/>
        </w:rPr>
        <w:t>Palopo</w:t>
      </w:r>
      <w:proofErr w:type="spellEnd"/>
      <w:r w:rsidRPr="00247D45">
        <w:rPr>
          <w:color w:val="000000"/>
          <w:sz w:val="20"/>
          <w:szCs w:val="20"/>
        </w:rPr>
        <w:t xml:space="preserve"> use </w:t>
      </w:r>
      <w:r w:rsidRPr="00CA0ABD">
        <w:rPr>
          <w:i/>
          <w:iCs/>
          <w:color w:val="000000"/>
          <w:sz w:val="20"/>
          <w:szCs w:val="20"/>
        </w:rPr>
        <w:t>smartphones</w:t>
      </w:r>
      <w:r w:rsidRPr="00247D45">
        <w:rPr>
          <w:color w:val="000000"/>
          <w:sz w:val="20"/>
          <w:szCs w:val="20"/>
        </w:rPr>
        <w:t xml:space="preserve"> as their main device to access the internet. Ease of use and freedom of time to search for various information make </w:t>
      </w:r>
      <w:r w:rsidRPr="00CA0ABD">
        <w:rPr>
          <w:i/>
          <w:iCs/>
          <w:color w:val="000000"/>
          <w:sz w:val="20"/>
          <w:szCs w:val="20"/>
        </w:rPr>
        <w:t>smartphones</w:t>
      </w:r>
      <w:r w:rsidRPr="00247D45">
        <w:rPr>
          <w:color w:val="000000"/>
          <w:sz w:val="20"/>
          <w:szCs w:val="20"/>
        </w:rPr>
        <w:t xml:space="preserve"> the main choice in finding information, including information about </w:t>
      </w:r>
      <w:r w:rsidRPr="00025B8F">
        <w:rPr>
          <w:color w:val="000000"/>
          <w:sz w:val="20"/>
          <w:szCs w:val="20"/>
        </w:rPr>
        <w:t>stunting</w:t>
      </w:r>
      <w:r>
        <w:rPr>
          <w:color w:val="000000"/>
          <w:sz w:val="20"/>
          <w:szCs w:val="20"/>
        </w:rPr>
        <w:t xml:space="preserve">. </w:t>
      </w:r>
      <w:r w:rsidRPr="00247D45">
        <w:rPr>
          <w:i/>
          <w:iCs/>
          <w:color w:val="000000"/>
          <w:sz w:val="20"/>
          <w:szCs w:val="20"/>
        </w:rPr>
        <w:t>Google</w:t>
      </w:r>
      <w:r w:rsidRPr="00247D45">
        <w:rPr>
          <w:color w:val="000000"/>
          <w:sz w:val="20"/>
          <w:szCs w:val="20"/>
        </w:rPr>
        <w:t xml:space="preserve"> is the platform most often used by parents to find information </w:t>
      </w:r>
      <w:proofErr w:type="gramStart"/>
      <w:r w:rsidRPr="00247D45">
        <w:rPr>
          <w:color w:val="000000"/>
          <w:sz w:val="20"/>
          <w:szCs w:val="20"/>
        </w:rPr>
        <w:t>related  to</w:t>
      </w:r>
      <w:proofErr w:type="gramEnd"/>
      <w:r w:rsidRPr="00247D45">
        <w:rPr>
          <w:color w:val="000000"/>
          <w:sz w:val="20"/>
          <w:szCs w:val="20"/>
        </w:rPr>
        <w:t xml:space="preserve"> </w:t>
      </w:r>
      <w:r w:rsidRPr="00025B8F">
        <w:rPr>
          <w:color w:val="000000"/>
          <w:sz w:val="20"/>
          <w:szCs w:val="20"/>
        </w:rPr>
        <w:t>stunting</w:t>
      </w:r>
      <w:r w:rsidRPr="00247D45">
        <w:rPr>
          <w:color w:val="000000"/>
          <w:sz w:val="20"/>
          <w:szCs w:val="20"/>
        </w:rPr>
        <w:t xml:space="preserve">. By typing keywords such as "causes of </w:t>
      </w:r>
      <w:r w:rsidRPr="00025B8F">
        <w:rPr>
          <w:color w:val="000000"/>
          <w:sz w:val="20"/>
          <w:szCs w:val="20"/>
        </w:rPr>
        <w:t>stunting</w:t>
      </w:r>
      <w:r w:rsidRPr="00247D45">
        <w:rPr>
          <w:color w:val="000000"/>
          <w:sz w:val="20"/>
          <w:szCs w:val="20"/>
        </w:rPr>
        <w:t xml:space="preserve">" or "how to prevent </w:t>
      </w:r>
      <w:r w:rsidRPr="00025B8F">
        <w:rPr>
          <w:color w:val="000000"/>
          <w:sz w:val="20"/>
          <w:szCs w:val="20"/>
        </w:rPr>
        <w:t>stunting</w:t>
      </w:r>
      <w:r w:rsidRPr="00247D45">
        <w:rPr>
          <w:color w:val="000000"/>
          <w:sz w:val="20"/>
          <w:szCs w:val="20"/>
        </w:rPr>
        <w:t xml:space="preserve">," parents can find a variety of articles and resources from health websites. </w:t>
      </w:r>
    </w:p>
    <w:p w14:paraId="212C838A" w14:textId="77777777" w:rsidR="00640082" w:rsidRDefault="00640082" w:rsidP="00BE2839">
      <w:pPr>
        <w:pStyle w:val="NormalWeb"/>
        <w:spacing w:before="0" w:beforeAutospacing="0" w:after="0" w:afterAutospacing="0"/>
        <w:ind w:left="717" w:firstLine="720"/>
        <w:jc w:val="both"/>
        <w:rPr>
          <w:color w:val="000000"/>
          <w:sz w:val="20"/>
          <w:szCs w:val="20"/>
          <w:lang w:val="id-ID"/>
        </w:rPr>
      </w:pPr>
      <w:r w:rsidRPr="00247D45">
        <w:rPr>
          <w:i/>
          <w:iCs/>
          <w:color w:val="000000"/>
          <w:sz w:val="20"/>
          <w:szCs w:val="20"/>
        </w:rPr>
        <w:t>YouTube</w:t>
      </w:r>
      <w:r w:rsidRPr="00247D45">
        <w:rPr>
          <w:color w:val="000000"/>
          <w:sz w:val="20"/>
          <w:szCs w:val="20"/>
        </w:rPr>
        <w:t xml:space="preserve"> It is the </w:t>
      </w:r>
      <w:proofErr w:type="gramStart"/>
      <w:r w:rsidRPr="00247D45">
        <w:rPr>
          <w:color w:val="000000"/>
          <w:sz w:val="20"/>
          <w:szCs w:val="20"/>
        </w:rPr>
        <w:t>second choice</w:t>
      </w:r>
      <w:proofErr w:type="gramEnd"/>
      <w:r w:rsidRPr="00247D45">
        <w:rPr>
          <w:color w:val="000000"/>
          <w:sz w:val="20"/>
          <w:szCs w:val="20"/>
        </w:rPr>
        <w:t xml:space="preserve"> platform, especially for parents who prefer visual explanations. The ease of digesting information in the form of videos makes </w:t>
      </w:r>
      <w:proofErr w:type="spellStart"/>
      <w:r w:rsidRPr="00247D45">
        <w:rPr>
          <w:color w:val="000000"/>
          <w:sz w:val="20"/>
          <w:szCs w:val="20"/>
        </w:rPr>
        <w:t>youtube</w:t>
      </w:r>
      <w:proofErr w:type="spellEnd"/>
      <w:r w:rsidRPr="00247D45">
        <w:rPr>
          <w:color w:val="000000"/>
          <w:sz w:val="20"/>
          <w:szCs w:val="20"/>
        </w:rPr>
        <w:t xml:space="preserve"> the choice of parents to find out about </w:t>
      </w:r>
      <w:r w:rsidRPr="00025B8F">
        <w:rPr>
          <w:color w:val="000000"/>
          <w:sz w:val="20"/>
          <w:szCs w:val="20"/>
        </w:rPr>
        <w:t>stunting</w:t>
      </w:r>
      <w:r>
        <w:rPr>
          <w:color w:val="000000"/>
          <w:sz w:val="20"/>
          <w:szCs w:val="20"/>
        </w:rPr>
        <w:t xml:space="preserve">. They watch videos from doctors, nutritionists, or health influencers who provide education about child nutrition and preventive measures </w:t>
      </w:r>
      <w:r w:rsidRPr="00025B8F">
        <w:rPr>
          <w:color w:val="000000"/>
          <w:sz w:val="20"/>
          <w:szCs w:val="20"/>
        </w:rPr>
        <w:t>stunting</w:t>
      </w:r>
      <w:r w:rsidRPr="00247D45">
        <w:rPr>
          <w:color w:val="000000"/>
          <w:sz w:val="20"/>
          <w:szCs w:val="20"/>
        </w:rPr>
        <w:t xml:space="preserve">. Information in the form of videos will make it faster and easier for a person to understand the information in the video </w:t>
      </w:r>
      <w:r>
        <w:rPr>
          <w:rStyle w:val="FootnoteReference"/>
          <w:color w:val="000000"/>
          <w:sz w:val="20"/>
          <w:szCs w:val="20"/>
        </w:rPr>
        <w:fldChar w:fldCharType="begin" w:fldLock="1"/>
      </w:r>
      <w:r>
        <w:rPr>
          <w:color w:val="000000"/>
          <w:sz w:val="20"/>
          <w:szCs w:val="20"/>
        </w:rPr>
        <w:instrText>ADDIN CSL_CITATION {"citationItems":[{"id":"ITEM-1","itemData":{"ISSN":"97980000000","abstract":"Penelitian ini berjudul “Situs YouTube Sebagai Media Pemenuhan Kebutuhan Informasi: Sebuah Survei Terhadap Mahasiswa Program Studi Ilmu Perpustakaan Fakultas Ilmu Budaya Universitas Diponegoro Angkatan 2013-2015”. Tujuan dari penelitian ini adalah untuk mengetahui apakah situs YouTube sebagai media pilihan untuk pemenuhan kebutuhan informasi mahasiswa program studi Ilmu Perpustakaan Fakultas Ilmu Budaya Universitas Diponegoro angkatan 2013-2015. Peneliti mengambil penelitian ini atas dasar kebutuhan informasi mahasiswa yang cukup banyak dan semakin berkembangnya teknologi informasi. Desain yang digunakan pada penelitian ini adalah kuantitatif deskriptif dengan metode survei. Teknik pengambilan data yang digunakan pada penelitian ini adalah proporsional stratified random sampling dan metode pengumpulan data menggunakan teknik kuesioner. Metode analisis data yang digunakan pada penelitian ini adalah analisis data deskriptif dan penarikan kesimpulan. Hasil penelitian menyatakan bahwa situs YouTube menjadi pilihan untuk memenuhi kebutuhan informasi mahasiswa, dibuktikan hampir setengahnya 41,1% mahasiswa lebih mudah memahami informasi dari YouTube daripada sumber informasi lain dan informasi pada situs YouTube dapat dipertanggungjawabkan dan relevan.","author":[{"dropping-particle":"","family":"Rohman","given":"Julian Nur","non-dropping-particle":"","parse-names":false,"suffix":""},{"dropping-particle":"","family":"Husna","given":"Jazimatul","non-dropping-particle":"","parse-names":false,"suffix":""}],"container-title":"Jurnal Ilmu Perpustakaan","id":"ITEM-1","issue":"1","issued":{"date-parts":[["2017"]]},"page":"171-180","title":"Situs Youtube Sebagai Media Pemenuhan Kebutuhan Informasi: Sebuah Survei Terhadap Mahasiswa Program Studi Ilmu Perpustakaan Universitas Diponegoro Angkatan 2013-2015","type":"article-journal","volume":"6"},"uris":["http://www.mendeley.com/documents/?uuid=95b33603-d6ad-4697-9346-05c0eef0aaf3"]}],"mendeley":{"formattedCitation":"(Rohman &amp; Husna, 2017)","plainTextFormattedCitation":"(Rohman &amp; Husna, 2017)","previouslyFormattedCitation":"(Rohman &amp; Husna, 2017)"},"properties":{"noteIndex":0},"schema":"https://github.com/citation-style-language/schema/raw/master/csl-citation.json"}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(Rohman &amp; Husna, 2017)</w:t>
      </w:r>
      <w:r>
        <w:rPr>
          <w:rStyle w:val="FootnoteReference"/>
          <w:color w:val="000000"/>
          <w:sz w:val="20"/>
          <w:szCs w:val="20"/>
        </w:rPr>
        <w:fldChar w:fldCharType="end"/>
      </w:r>
      <w:r w:rsidRPr="001E04C6">
        <w:rPr>
          <w:color w:val="000000"/>
          <w:sz w:val="20"/>
          <w:szCs w:val="20"/>
        </w:rPr>
        <w:t>. The simultaneous incorporation of audio and video makes the information conveyed more interesting and easier to understand. In addition, the convenience and ease of stopping or pausing the video gives viewers full control while watching. Not only does it provide full control, but it also allows the freedom to choose the video that suits the desired information needs</w:t>
      </w:r>
      <w:r>
        <w:rPr>
          <w:rStyle w:val="FootnoteReference"/>
          <w:color w:val="000000"/>
          <w:sz w:val="20"/>
          <w:szCs w:val="20"/>
        </w:rPr>
        <w:fldChar w:fldCharType="begin" w:fldLock="1"/>
      </w:r>
      <w:r>
        <w:rPr>
          <w:color w:val="000000"/>
          <w:sz w:val="20"/>
          <w:szCs w:val="20"/>
        </w:rPr>
        <w:instrText>ADDIN CSL_CITATION {"citationItems":[{"id":"ITEM-1","itemData":{"DOI":"https://doi.org/10.31294/jmp.v3i01.1459","ISSN":"2797-8095","abstract":"Penelitian ini bertujuan untuk melihat adakah pengaruh penggunan Youtube terhadap pemenuhan kebutuhan informasi siswa SMK Mahanaim dan untuk mengetahui seberapa besar pengaruhnya terhadap pemenuhan kebutuhan informasi siswa SMK Mahanaim. Youtube menjadi pilihan utama bagi para pelajar dalam memenuhi kebutuhan informasinya karena menjadi media yang dekat dikalangan siswa dengan kemudahan yang diberikan. Penelitian ini terdiri dari dua variabel yaitu variabel independen (Penggunaan Youtube) dan variabel dependen (Pemenuhan kebutuhan Informasi). Dalam prosesnya, penelitian ini menggunakan jenis penelitian kuantitatif dan kuesioner tertutup sebagai metode pengumpulan data dari 100 responden. Adapun hasil yang didapatkan menunjukkan bahwa penggunaan Youtube tidak berpengaruh terhadap pemenuhan kebutuhan informasi siswa. Sulitnya menemukan informasi yang sesuai dengan materi pembelajaran, membuat siswa masih membutuhkan media pembelajaran lain. Kata Kunci: Youtube, Kebutuhan Informasi, Siswa,","author":[{"dropping-particle":"","family":"Derma","given":"Chrisna","non-dropping-particle":"","parse-names":false,"suffix":""},{"dropping-particle":"","family":"Darwinsyah","given":"M","non-dropping-particle":"","parse-names":false,"suffix":""}],"container-title":"Jurnal Media Penyiaran","id":"ITEM-1","issued":{"date-parts":[["2023"]]},"page":"01-07","title":"Pengaruh Penggunaan Youtube Terhadap Pemenuhan Kebutuhan Informasi Siswa SMK Mahanaim Bekasi","type":"article-journal","volume":"Volume 03"},"uris":["http://www.mendeley.com/documents/?uuid=e755f76f-ba3c-4726-bd59-df69890e07cc"]}],"mendeley":{"formattedCitation":"(Derma &amp; Darwinsyah, 2023)","plainTextFormattedCitation":"(Derma &amp; Darwinsyah, 2023)","previouslyFormattedCitation":"(Derma &amp; Darwinsyah, 2023)"},"properties":{"noteIndex":0},"schema":"https://github.com/citation-style-language/schema/raw/master/csl-citation.json"}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(Derma &amp; Darwinsyah, 2023)</w:t>
      </w:r>
      <w:r>
        <w:rPr>
          <w:rStyle w:val="FootnoteReference"/>
          <w:color w:val="000000"/>
          <w:sz w:val="20"/>
          <w:szCs w:val="20"/>
        </w:rPr>
        <w:fldChar w:fldCharType="end"/>
      </w:r>
      <w:r w:rsidRPr="001E04C6">
        <w:rPr>
          <w:color w:val="000000"/>
          <w:sz w:val="20"/>
          <w:szCs w:val="20"/>
        </w:rPr>
        <w:t xml:space="preserve">. Therefore, </w:t>
      </w:r>
      <w:r w:rsidRPr="001E04C6">
        <w:rPr>
          <w:i/>
          <w:iCs/>
          <w:color w:val="000000"/>
          <w:sz w:val="20"/>
          <w:szCs w:val="20"/>
        </w:rPr>
        <w:t>YouTube</w:t>
      </w:r>
      <w:r w:rsidRPr="001E04C6">
        <w:rPr>
          <w:color w:val="000000"/>
          <w:sz w:val="20"/>
          <w:szCs w:val="20"/>
        </w:rPr>
        <w:t xml:space="preserve"> becoming one of the popular online media today </w:t>
      </w:r>
      <w:r>
        <w:rPr>
          <w:color w:val="000000"/>
          <w:sz w:val="20"/>
          <w:szCs w:val="20"/>
        </w:rPr>
        <w:fldChar w:fldCharType="begin" w:fldLock="1"/>
      </w:r>
      <w:r>
        <w:rPr>
          <w:color w:val="000000"/>
          <w:sz w:val="20"/>
          <w:szCs w:val="20"/>
        </w:rPr>
        <w:instrText>ADDIN CSL_CITATION {"citationItems":[{"id":"ITEM-1","itemData":{"URL":"https://www.rri.co.id/iptek/721570/ini-data-statistik-penggunaan-media-sosial-masyarakat-indonesia-tahun-2024","accessed":{"date-parts":[["2024","11","5"]]},"author":[{"dropping-particle":"","family":"Panggabean","given":"Andreas Daniel","non-dropping-particle":"","parse-names":false,"suffix":""}],"container-title":"rri.co.id","id":"ITEM-1","issued":{"date-parts":[["2024"]]},"title":"Ini Data Statistik Penggunaan Media Sosial Masyarakat Indonesia Tahun 2024","type":"webpage"},"uris":["http://www.mendeley.com/documents/?uuid=a5a1e2f8-b0ff-4115-a491-b12326fe5cab"]}],"mendeley":{"formattedCitation":"(Panggabean, 2024)","plainTextFormattedCitation":"(Panggabean, 2024)","previouslyFormattedCitation":"(Panggabean, 2024)"},"properties":{"noteIndex":0},"schema":"https://github.com/citation-style-language/schema/raw/master/csl-citation.json"}</w:instrText>
      </w:r>
      <w:r>
        <w:rPr>
          <w:color w:val="000000"/>
          <w:sz w:val="20"/>
          <w:szCs w:val="20"/>
        </w:rPr>
        <w:fldChar w:fldCharType="separate"/>
      </w:r>
      <w:r w:rsidRPr="00BE2839">
        <w:rPr>
          <w:noProof/>
          <w:color w:val="000000"/>
          <w:sz w:val="20"/>
          <w:szCs w:val="20"/>
        </w:rPr>
        <w:t>(Panggabean, 2024)</w:t>
      </w:r>
      <w:r>
        <w:rPr>
          <w:color w:val="000000"/>
          <w:sz w:val="20"/>
          <w:szCs w:val="20"/>
        </w:rPr>
        <w:fldChar w:fldCharType="end"/>
      </w:r>
      <w:r>
        <w:rPr>
          <w:color w:val="000000"/>
          <w:sz w:val="20"/>
          <w:szCs w:val="20"/>
        </w:rPr>
        <w:t xml:space="preserve"> and useful for meeting information needs, including about </w:t>
      </w:r>
      <w:r w:rsidRPr="00025B8F">
        <w:rPr>
          <w:color w:val="000000"/>
          <w:sz w:val="20"/>
          <w:szCs w:val="20"/>
        </w:rPr>
        <w:t>stunting</w:t>
      </w:r>
      <w:r w:rsidRPr="001E04C6">
        <w:rPr>
          <w:color w:val="000000"/>
          <w:sz w:val="20"/>
          <w:szCs w:val="20"/>
        </w:rPr>
        <w:t>.</w:t>
      </w:r>
    </w:p>
    <w:p w14:paraId="43BEFC48" w14:textId="77777777" w:rsidR="00640082" w:rsidRDefault="00640082" w:rsidP="001E04C6">
      <w:pPr>
        <w:pStyle w:val="NormalWeb"/>
        <w:spacing w:before="0" w:beforeAutospacing="0" w:after="0" w:afterAutospacing="0"/>
        <w:ind w:left="717" w:firstLine="720"/>
        <w:jc w:val="both"/>
        <w:rPr>
          <w:color w:val="000000"/>
          <w:sz w:val="20"/>
          <w:szCs w:val="20"/>
          <w:lang w:val="id-ID"/>
        </w:rPr>
      </w:pPr>
      <w:r w:rsidRPr="001E04C6">
        <w:rPr>
          <w:color w:val="000000"/>
          <w:sz w:val="20"/>
          <w:szCs w:val="20"/>
        </w:rPr>
        <w:t xml:space="preserve">The findings also showed that the intensity of information search increased, especially after parents found out that there was a potential risk of </w:t>
      </w:r>
      <w:r w:rsidRPr="00025B8F">
        <w:rPr>
          <w:color w:val="000000"/>
          <w:sz w:val="20"/>
          <w:szCs w:val="20"/>
        </w:rPr>
        <w:t>stunting</w:t>
      </w:r>
      <w:r w:rsidRPr="001E04C6">
        <w:rPr>
          <w:color w:val="000000"/>
          <w:sz w:val="20"/>
          <w:szCs w:val="20"/>
        </w:rPr>
        <w:t xml:space="preserve"> in children or after receiving an initial diagnosis from health workers. In these cases, parents often seek information several times a day, especially when facing </w:t>
      </w:r>
      <w:proofErr w:type="gramStart"/>
      <w:r w:rsidRPr="001E04C6">
        <w:rPr>
          <w:color w:val="000000"/>
          <w:sz w:val="20"/>
          <w:szCs w:val="20"/>
        </w:rPr>
        <w:t>symptoms</w:t>
      </w:r>
      <w:proofErr w:type="gramEnd"/>
      <w:r w:rsidRPr="001E04C6">
        <w:rPr>
          <w:color w:val="000000"/>
          <w:sz w:val="20"/>
          <w:szCs w:val="20"/>
        </w:rPr>
        <w:t xml:space="preserve"> they are worried about or when looking for solutions to prevent </w:t>
      </w:r>
      <w:r w:rsidRPr="00025B8F">
        <w:rPr>
          <w:color w:val="000000"/>
          <w:sz w:val="20"/>
          <w:szCs w:val="20"/>
        </w:rPr>
        <w:t>stunting</w:t>
      </w:r>
      <w:r w:rsidRPr="001E04C6">
        <w:rPr>
          <w:color w:val="000000"/>
          <w:sz w:val="20"/>
          <w:szCs w:val="20"/>
        </w:rPr>
        <w:t xml:space="preserve">. </w:t>
      </w:r>
    </w:p>
    <w:p w14:paraId="10E12403" w14:textId="77777777" w:rsidR="00640082" w:rsidRDefault="00640082" w:rsidP="001E04C6">
      <w:pPr>
        <w:pStyle w:val="NormalWeb"/>
        <w:spacing w:before="0" w:beforeAutospacing="0" w:after="0" w:afterAutospacing="0"/>
        <w:ind w:left="717" w:firstLine="720"/>
        <w:jc w:val="both"/>
        <w:rPr>
          <w:color w:val="000000"/>
          <w:sz w:val="20"/>
          <w:szCs w:val="20"/>
          <w:lang w:val="id-ID"/>
        </w:rPr>
      </w:pPr>
      <w:r w:rsidRPr="001E04C6">
        <w:rPr>
          <w:color w:val="000000"/>
          <w:sz w:val="20"/>
          <w:szCs w:val="20"/>
        </w:rPr>
        <w:t xml:space="preserve">In addition to general information about </w:t>
      </w:r>
      <w:r w:rsidRPr="00025B8F">
        <w:rPr>
          <w:color w:val="000000"/>
          <w:sz w:val="20"/>
          <w:szCs w:val="20"/>
        </w:rPr>
        <w:t>stunting</w:t>
      </w:r>
      <w:r w:rsidRPr="001E04C6">
        <w:rPr>
          <w:color w:val="000000"/>
          <w:sz w:val="20"/>
          <w:szCs w:val="20"/>
        </w:rPr>
        <w:t xml:space="preserve">, parents are also actively looking for specific topics related to aspects of parenting and child nutrition. Parents find out about the ideal sleep schedule for the child, especially how long the child needs to sleep during the day and night to support optimal growth. They sought information on sleep duration appropriate to the child's age and how sleep quality can affect growth and development, especially in the context of preventing </w:t>
      </w:r>
      <w:r w:rsidRPr="00025B8F">
        <w:rPr>
          <w:color w:val="000000"/>
          <w:sz w:val="20"/>
          <w:szCs w:val="20"/>
        </w:rPr>
        <w:t>stunting</w:t>
      </w:r>
      <w:r w:rsidRPr="001E04C6">
        <w:rPr>
          <w:color w:val="000000"/>
          <w:sz w:val="20"/>
          <w:szCs w:val="20"/>
        </w:rPr>
        <w:t xml:space="preserve">. Information about good types of milk and the nutritional content in it is also often sought, especially regarding vitamins and minerals that can support children's growth. Parents are interested in knowing the content such as protein, calcium, vitamin D, and iron in milk, because these nutrients are considered important in preventing malnutrition that can cause </w:t>
      </w:r>
      <w:r w:rsidRPr="00025B8F">
        <w:rPr>
          <w:color w:val="000000"/>
          <w:sz w:val="20"/>
          <w:szCs w:val="20"/>
        </w:rPr>
        <w:t>stunting</w:t>
      </w:r>
      <w:r w:rsidRPr="001E04C6">
        <w:rPr>
          <w:color w:val="000000"/>
          <w:sz w:val="20"/>
          <w:szCs w:val="20"/>
        </w:rPr>
        <w:t xml:space="preserve">. They also compare different milk brands to determine whether the product meets the nutritional needs of children or if there are special milk options recommended for children with </w:t>
      </w:r>
      <w:r w:rsidRPr="00025B8F">
        <w:rPr>
          <w:color w:val="000000"/>
          <w:sz w:val="20"/>
          <w:szCs w:val="20"/>
        </w:rPr>
        <w:t>stunting</w:t>
      </w:r>
      <w:r w:rsidRPr="001E04C6">
        <w:rPr>
          <w:color w:val="000000"/>
          <w:sz w:val="20"/>
          <w:szCs w:val="20"/>
        </w:rPr>
        <w:t xml:space="preserve"> potential.</w:t>
      </w:r>
    </w:p>
    <w:p w14:paraId="282F3001" w14:textId="77777777" w:rsidR="00640082" w:rsidRDefault="00640082" w:rsidP="001E04C6">
      <w:pPr>
        <w:pStyle w:val="NormalWeb"/>
        <w:spacing w:before="0" w:beforeAutospacing="0" w:after="0" w:afterAutospacing="0"/>
        <w:ind w:left="717" w:firstLine="720"/>
        <w:jc w:val="both"/>
        <w:rPr>
          <w:color w:val="000000"/>
          <w:sz w:val="20"/>
          <w:szCs w:val="20"/>
          <w:lang w:val="id-ID"/>
        </w:rPr>
      </w:pPr>
      <w:r w:rsidRPr="001E04C6">
        <w:rPr>
          <w:color w:val="000000"/>
          <w:sz w:val="20"/>
          <w:szCs w:val="20"/>
        </w:rPr>
        <w:t xml:space="preserve">Parents are not only looking for general information about healthy eating, but also nutritional details in the food they serve. They also look for recommendations for certain food ingredients, such as green vegetables, nuts, as well as good cooking methods so that nutrients are not lost during the processing process. This information helps them ensure that children get a balanced intake to prevent malnutrition that risks </w:t>
      </w:r>
      <w:r w:rsidRPr="00025B8F">
        <w:rPr>
          <w:color w:val="000000"/>
          <w:sz w:val="20"/>
          <w:szCs w:val="20"/>
        </w:rPr>
        <w:t>stunting</w:t>
      </w:r>
      <w:r w:rsidRPr="001E04C6">
        <w:rPr>
          <w:color w:val="000000"/>
          <w:sz w:val="20"/>
          <w:szCs w:val="20"/>
        </w:rPr>
        <w:t xml:space="preserve"> growth.</w:t>
      </w:r>
    </w:p>
    <w:p w14:paraId="35515095" w14:textId="77777777" w:rsidR="00640082" w:rsidRDefault="00640082" w:rsidP="000040CB">
      <w:pPr>
        <w:pStyle w:val="NormalWeb"/>
        <w:spacing w:before="0" w:beforeAutospacing="0" w:after="0" w:afterAutospacing="0"/>
        <w:ind w:left="717" w:firstLine="720"/>
        <w:jc w:val="both"/>
        <w:rPr>
          <w:color w:val="000000"/>
          <w:sz w:val="20"/>
          <w:szCs w:val="20"/>
          <w:lang w:val="id-ID"/>
        </w:rPr>
      </w:pPr>
      <w:r w:rsidRPr="009D0125">
        <w:rPr>
          <w:color w:val="000000"/>
          <w:sz w:val="20"/>
          <w:szCs w:val="20"/>
        </w:rPr>
        <w:t xml:space="preserve">The intensity and depth of this search shows the great need for parents to feel confident that they are providing the best care for their children, especially in preventing </w:t>
      </w:r>
      <w:r w:rsidRPr="00025B8F">
        <w:rPr>
          <w:color w:val="000000"/>
          <w:sz w:val="20"/>
          <w:szCs w:val="20"/>
        </w:rPr>
        <w:t>stunting</w:t>
      </w:r>
      <w:r w:rsidRPr="009D0125">
        <w:rPr>
          <w:color w:val="000000"/>
          <w:sz w:val="20"/>
          <w:szCs w:val="20"/>
        </w:rPr>
        <w:t xml:space="preserve">. Research shows that parents often experience anxiety related to their children's health </w:t>
      </w:r>
      <w:r>
        <w:rPr>
          <w:rStyle w:val="FootnoteReference"/>
          <w:color w:val="000000"/>
          <w:sz w:val="20"/>
          <w:szCs w:val="20"/>
        </w:rPr>
        <w:fldChar w:fldCharType="begin" w:fldLock="1"/>
      </w:r>
      <w:r>
        <w:rPr>
          <w:color w:val="000000"/>
          <w:sz w:val="20"/>
          <w:szCs w:val="20"/>
        </w:rPr>
        <w:instrText>ADDIN CSL_CITATION {"citationItems":[{"id":"ITEM-1","itemData":{"DOI":"10.1080/17512786.2020.1824586","ISSN":"17512794","abstract":"Introduced and popularized by the news media, cyberchondria refers to excessive online health information searches associated with escalation of health anxiety. It has since received attention from researchers and health professionals. While many studies have focused on investigating the relationship between increased health anxiety and excessive online information seeking as well as factors associated with cyberchondria, there remains little knowledge regarding how the media represent cyberchondria, despite the fact that cyberchondria as a term was popularized by the news media. Through a discourse analysis of 148 news articles, this exploratory study examines the ways the news media defined and portrayed cyberchondria. While news coverage offers various ways to define and label cyberchondria, many news reports recognize that cyberchondria is a multi-level issue that requires multidimensional efforts from patients, doctors and technologies.","author":[{"dropping-particle":"","family":"Zheng","given":"Han","non-dropping-particle":"","parse-names":false,"suffix":""},{"dropping-particle":"","family":"Tandoc","given":"Edson C.","non-dropping-particle":"","parse-names":false,"suffix":""}],"container-title":"Journalism Practice","id":"ITEM-1","issue":"5","issued":{"date-parts":[["2022"]]},"page":"1001-1017","title":"Calling Dr. Internet: Analyzing News Coverage of Cyberchondria","type":"article-journal","volume":"16"},"uris":["http://www.mendeley.com/documents/?uuid=45830011-682a-4c18-9aa9-6f21bd329a91"]}],"mendeley":{"formattedCitation":"(Zheng &amp; Tandoc, 2022)","plainTextFormattedCitation":"(Zheng &amp; Tandoc, 2022)","previouslyFormattedCitation":"(Zheng &amp; Tandoc, 2022)"},"properties":{"noteIndex":0},"schema":"https://github.com/citation-style-language/schema/raw/master/csl-citation.json"}</w:instrText>
      </w:r>
      <w:r>
        <w:rPr>
          <w:rStyle w:val="FootnoteReference"/>
          <w:color w:val="000000"/>
          <w:sz w:val="20"/>
          <w:szCs w:val="20"/>
        </w:rPr>
        <w:fldChar w:fldCharType="separate"/>
      </w:r>
      <w:r w:rsidRPr="00DD57E7">
        <w:rPr>
          <w:noProof/>
          <w:color w:val="000000"/>
          <w:sz w:val="20"/>
          <w:szCs w:val="20"/>
        </w:rPr>
        <w:t>(Zheng &amp; Tandoc, 2022)</w:t>
      </w:r>
      <w:r>
        <w:rPr>
          <w:rStyle w:val="FootnoteReference"/>
          <w:color w:val="000000"/>
          <w:sz w:val="20"/>
          <w:szCs w:val="20"/>
        </w:rPr>
        <w:fldChar w:fldCharType="end"/>
      </w:r>
      <w:r>
        <w:rPr>
          <w:color w:val="000000"/>
          <w:sz w:val="20"/>
          <w:szCs w:val="20"/>
        </w:rPr>
        <w:t xml:space="preserve">. In context </w:t>
      </w:r>
      <w:r w:rsidRPr="00025B8F">
        <w:rPr>
          <w:color w:val="000000"/>
          <w:sz w:val="20"/>
          <w:szCs w:val="20"/>
        </w:rPr>
        <w:t>stunting</w:t>
      </w:r>
      <w:r w:rsidRPr="009D0125">
        <w:rPr>
          <w:color w:val="000000"/>
          <w:sz w:val="20"/>
          <w:szCs w:val="20"/>
        </w:rPr>
        <w:t xml:space="preserve">, this anxiety can increase when they find the risk or early symptoms in the child. Parents with high levels of anxiety tend to search for health information online more often, especially on specific topics that they feel are important, such as sleep schedules or food nutrition. This is related to the desire to gain more confidence in their actions, so that the feeling of security in parenting and caring for children is fulfilled. Information search becomes a mechanism </w:t>
      </w:r>
      <w:r w:rsidRPr="009D0125">
        <w:rPr>
          <w:i/>
          <w:iCs/>
          <w:color w:val="000000"/>
          <w:sz w:val="20"/>
          <w:szCs w:val="20"/>
        </w:rPr>
        <w:t>Coping with</w:t>
      </w:r>
      <w:r w:rsidRPr="009D0125">
        <w:rPr>
          <w:color w:val="000000"/>
          <w:sz w:val="20"/>
          <w:szCs w:val="20"/>
        </w:rPr>
        <w:t xml:space="preserve"> to address their concerns </w:t>
      </w:r>
      <w:r>
        <w:rPr>
          <w:rStyle w:val="FootnoteReference"/>
          <w:color w:val="000000"/>
          <w:sz w:val="20"/>
          <w:szCs w:val="20"/>
        </w:rPr>
        <w:fldChar w:fldCharType="begin" w:fldLock="1"/>
      </w:r>
      <w:r>
        <w:rPr>
          <w:color w:val="000000"/>
          <w:sz w:val="20"/>
          <w:szCs w:val="20"/>
        </w:rPr>
        <w:instrText>ADDIN CSL_CITATION {"citationItems":[{"id":"ITEM-1","itemData":{"DOI":"10.1007/s10826-023-02689-8","ISBN":"1082602302","ISSN":"15732843","abstract":"Health anxiety is a condition which can negatively impact the well-being of an individual through rumination or extreme safety measures. However, literature about the factors related to adolescent health anxiety is scarce. In this study, we explored factors potentially related to adolescent health anxiety. Using structural equation modeling, we analyzed data from 1530 Czech adolescents aged 13–18, recruited through quota sampling, and their caregivers (64% female). First, we focused on its transmission from caregiver to offspring and on the moderating effect of gender. Second, we studied the relationship between online health information seeking and adolescent health anxiety with eHealth literacy as a potential moderator. The responses partially supported our hypotheses. Adolescent health anxiety was positively related to the health anxiety of the caregiver. Disease information seeking was positively related to health anxiety, but we found no such effect for fitness information seeking. Finally, eHealth literacy did not moderate online health information seeking. Our results underline that the health anxiety of caregivers and their offspring are intertwined and should ideally be addressed together. Furthermore, we show that for adolescents, like adults, online disease information seeking can be related to health anxiety and should be considered.","author":[{"dropping-particle":"","family":"Svestkova","given":"Adela","non-dropping-particle":"","parse-names":false,"suffix":""},{"dropping-particle":"","family":"Kvardova","given":"Nikol","non-dropping-particle":"","parse-names":false,"suffix":""},{"dropping-particle":"","family":"Smahel","given":"David","non-dropping-particle":"","parse-names":false,"suffix":""}],"container-title":"Journal of Child and Family Studies","id":"ITEM-1","issue":"4","issued":{"date-parts":[["2024"]]},"page":"1083-1094","publisher":"Springer US","title":"Health Anxiety in Adolescents: The Roles of Online Health Information Seeking and Parental Health Anxiety","type":"article-journal","volume":"33"},"uris":["http://www.mendeley.com/documents/?uuid=8dcf0e19-6a35-4dac-a418-c137802421d1"]}],"mendeley":{"formattedCitation":"(Svestkova et al., 2024)","plainTextFormattedCitation":"(Svestkova et al., 2024)","previouslyFormattedCitation":"(Svestkova et al., 2024)"},"properties":{"noteIndex":0},"schema":"https://github.com/citation-style-language/schema/raw/master/csl-citation.json"}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(Svestkova et al., 2024)</w:t>
      </w:r>
      <w:r>
        <w:rPr>
          <w:rStyle w:val="FootnoteReference"/>
          <w:color w:val="000000"/>
          <w:sz w:val="20"/>
          <w:szCs w:val="20"/>
        </w:rPr>
        <w:fldChar w:fldCharType="end"/>
      </w:r>
      <w:r w:rsidRPr="009D0125">
        <w:rPr>
          <w:color w:val="000000"/>
          <w:sz w:val="20"/>
          <w:szCs w:val="20"/>
        </w:rPr>
        <w:t xml:space="preserve">, which allows parents to feel more informed and empowered in making health decisions. However, greater vigilance of health symptoms can also create a negative impact, namely overdiagnosis and unnecessary intervention </w:t>
      </w:r>
      <w:r>
        <w:rPr>
          <w:rStyle w:val="FootnoteReference"/>
          <w:color w:val="000000"/>
          <w:sz w:val="20"/>
          <w:szCs w:val="20"/>
        </w:rPr>
        <w:fldChar w:fldCharType="begin" w:fldLock="1"/>
      </w:r>
      <w:r>
        <w:rPr>
          <w:color w:val="000000"/>
          <w:sz w:val="20"/>
          <w:szCs w:val="20"/>
        </w:rPr>
        <w:instrText>ADDIN CSL_CITATION {"citationItems":[{"id":"ITEM-1","itemData":{"DOI":"10.1007/s00787-016-0927-1","ISSN":"1435165X","PMID":"27909834","abstract":"Little is known about family risk factors and intergenerational transmission of psychological disturbance in the development of health anxiety (HA). This study investigated HA and related concepts in 8- to 17-year-old children who had been exposed to different maternal health status. Using a family case–control design, three family groups were included: (1) 50 case children of mothers with severe (HA); (2) 49 control children of mothers with rheumatoid arthritis (RA); and (3) 51 control children of healthy mothers. Children and mothers completed a battery of standardised questionnaires. Case children reported significantly higher level of HA symptoms than children of mothers with RA but not compared to children of healthy mothers. There was no significant difference between the children’s self-reports in the three groups with regard to anxiety symptoms in general, physical complaints, or quality of life. In contrast, mothers with HA reported their children as having more emotional and physical symptoms than mothers in one or both control groups. Compared to mothers with RA but not healthy mothers, mothers with HA also reported more visits to the general practitioner with their children during the past year. The findings suggest that maternal HA only weakly affects children’s own report of HA and thereby may not be a strong risk factor for the development of HA symptoms in childhood. However, mothers with severe HA seem to conceive their children as more ill and present them more often in the health care system which could, therefore, be an important target for intervention in adult patients.","author":[{"dropping-particle":"","family":"Thorgaard","given":"Mette Viller","non-dropping-particle":"","parse-names":false,"suffix":""},{"dropping-particle":"","family":"Frostholm","given":"Lisbeth","non-dropping-particle":"","parse-names":false,"suffix":""},{"dropping-particle":"","family":"Walker","given":"Lynn S.","non-dropping-particle":"","parse-names":false,"suffix":""},{"dropping-particle":"","family":"Stengaard-Pedersen","given":"Kristian","non-dropping-particle":"","parse-names":false,"suffix":""},{"dropping-particle":"","family":"Karlsson","given":"Mads Münster","non-dropping-particle":"","parse-names":false,"suffix":""},{"dropping-particle":"","family":"Jensen","given":"Jens Søndergaard","non-dropping-particle":"","parse-names":false,"suffix":""},{"dropping-particle":"","family":"Fink","given":"Per","non-dropping-particle":"","parse-names":false,"suffix":""},{"dropping-particle":"","family":"Rask","given":"Charlotte Ulrikka","non-dropping-particle":"","parse-names":false,"suffix":""}],"container-title":"European Child and Adolescent Psychiatry","id":"ITEM-1","issue":"5","issued":{"date-parts":[["2017"]]},"page":"591-601","publisher":"Springer Berlin Heidelberg","title":"Effects of maternal health anxiety on children’s health complaints, emotional symptoms, and quality of life","type":"article-journal","volume":"26"},"uris":["http://www.mendeley.com/documents/?uuid=762be2fb-211f-40e5-b1f8-c1117b43dfa3"]}],"mendeley":{"formattedCitation":"(Thorgaard et al., 2017)","plainTextFormattedCitation":"(Thorgaard et al., 2017)","previouslyFormattedCitation":"(Thorgaard et al., 2017)"},"properties":{"noteIndex":0},"schema":"https://github.com/citation-style-language/schema/raw/master/csl-citation.json"}</w:instrText>
      </w:r>
      <w:r>
        <w:rPr>
          <w:rStyle w:val="FootnoteReference"/>
          <w:color w:val="000000"/>
          <w:sz w:val="20"/>
          <w:szCs w:val="20"/>
        </w:rPr>
        <w:fldChar w:fldCharType="separate"/>
      </w:r>
      <w:r w:rsidRPr="00DD57E7">
        <w:rPr>
          <w:bCs/>
          <w:noProof/>
          <w:color w:val="000000"/>
          <w:sz w:val="20"/>
          <w:szCs w:val="20"/>
        </w:rPr>
        <w:t>(Thorgaard et al., 2017)</w:t>
      </w:r>
      <w:r>
        <w:rPr>
          <w:rStyle w:val="FootnoteReference"/>
          <w:color w:val="000000"/>
          <w:sz w:val="20"/>
          <w:szCs w:val="20"/>
        </w:rPr>
        <w:fldChar w:fldCharType="end"/>
      </w:r>
      <w:r w:rsidRPr="000040CB">
        <w:rPr>
          <w:color w:val="000000"/>
          <w:sz w:val="20"/>
          <w:szCs w:val="20"/>
        </w:rPr>
        <w:t>. Fear of possible health problems can cause parents to overreact.</w:t>
      </w:r>
    </w:p>
    <w:p w14:paraId="0B8D4324" w14:textId="77777777" w:rsidR="00640082" w:rsidRDefault="00640082" w:rsidP="000040CB">
      <w:pPr>
        <w:pStyle w:val="NormalWeb"/>
        <w:spacing w:before="0" w:beforeAutospacing="0" w:after="0" w:afterAutospacing="0"/>
        <w:ind w:left="717" w:firstLine="720"/>
        <w:jc w:val="both"/>
        <w:rPr>
          <w:color w:val="000000"/>
          <w:sz w:val="20"/>
          <w:szCs w:val="20"/>
          <w:lang w:val="id-ID"/>
        </w:rPr>
      </w:pPr>
    </w:p>
    <w:p w14:paraId="45557BD8" w14:textId="77777777" w:rsidR="00640082" w:rsidRPr="000040CB" w:rsidRDefault="00640082" w:rsidP="000040CB">
      <w:pPr>
        <w:pStyle w:val="NormalWeb"/>
        <w:spacing w:before="0" w:beforeAutospacing="0" w:after="0" w:afterAutospacing="0"/>
        <w:ind w:left="717"/>
        <w:jc w:val="both"/>
        <w:rPr>
          <w:b/>
          <w:bCs/>
          <w:color w:val="000000"/>
          <w:sz w:val="20"/>
          <w:szCs w:val="20"/>
          <w:lang w:val="id-ID"/>
        </w:rPr>
      </w:pPr>
      <w:r w:rsidRPr="000040CB">
        <w:rPr>
          <w:b/>
          <w:bCs/>
          <w:color w:val="000000"/>
          <w:sz w:val="20"/>
          <w:szCs w:val="20"/>
        </w:rPr>
        <w:t>Factors Encouraging Parents to Choose the Internet as a Source of Health Information</w:t>
      </w:r>
    </w:p>
    <w:p w14:paraId="7B7CD70C" w14:textId="77777777" w:rsidR="00640082" w:rsidRPr="00247D45" w:rsidRDefault="00640082" w:rsidP="001E04C6">
      <w:pPr>
        <w:pStyle w:val="NormalWeb"/>
        <w:spacing w:before="0" w:beforeAutospacing="0" w:after="0" w:afterAutospacing="0"/>
        <w:ind w:left="717" w:firstLine="720"/>
        <w:jc w:val="both"/>
        <w:rPr>
          <w:color w:val="000000"/>
          <w:sz w:val="20"/>
          <w:szCs w:val="20"/>
          <w:lang w:val="id-ID"/>
        </w:rPr>
      </w:pPr>
    </w:p>
    <w:p w14:paraId="7F52CF6E"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0040CB">
        <w:rPr>
          <w:rFonts w:ascii="Times New Roman" w:hAnsi="Times New Roman" w:cs="Times New Roman"/>
          <w:sz w:val="20"/>
          <w:szCs w:val="20"/>
        </w:rPr>
        <w:t xml:space="preserve">One of the main factors that encourage parents to search for health information on the internet is the ease of access and use. With commonly used digital devices, such as </w:t>
      </w:r>
      <w:r w:rsidRPr="00CA0ABD">
        <w:rPr>
          <w:rFonts w:ascii="Times New Roman" w:hAnsi="Times New Roman" w:cs="Times New Roman"/>
          <w:i/>
          <w:iCs/>
          <w:sz w:val="20"/>
          <w:szCs w:val="20"/>
        </w:rPr>
        <w:t>smartphones</w:t>
      </w:r>
      <w:r w:rsidRPr="000040CB">
        <w:rPr>
          <w:rFonts w:ascii="Times New Roman" w:hAnsi="Times New Roman" w:cs="Times New Roman"/>
          <w:sz w:val="20"/>
          <w:szCs w:val="20"/>
        </w:rPr>
        <w:t xml:space="preserve">, parents can quickly and easily access the information they need anytime and anywhere. This easy access makes the internet a more practical option compared to traditional sources of information, such as a visit to the doctor. The use of digital devices, such as </w:t>
      </w:r>
      <w:r w:rsidRPr="00CA0ABD">
        <w:rPr>
          <w:rFonts w:ascii="Times New Roman" w:hAnsi="Times New Roman" w:cs="Times New Roman"/>
          <w:i/>
          <w:iCs/>
          <w:sz w:val="20"/>
          <w:szCs w:val="20"/>
        </w:rPr>
        <w:t>smartphones</w:t>
      </w:r>
      <w:r w:rsidRPr="000040CB">
        <w:rPr>
          <w:rFonts w:ascii="Times New Roman" w:hAnsi="Times New Roman" w:cs="Times New Roman"/>
          <w:sz w:val="20"/>
          <w:szCs w:val="20"/>
        </w:rPr>
        <w:t>, has become very common among parents. The existence of a stable internet connection makes parents can access information easily and find relevant information quickly.</w:t>
      </w:r>
    </w:p>
    <w:p w14:paraId="26ECBAB4"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The search features provided by search engines like Google make it possible for parents to find specific information quickly. Parents can simply type in relevant keywords, such as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in children" or "symptoms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and in a matter of seconds, relevant search results will appear. This is very different from looking for information at the health center, which requires more time and effort to find the necessary information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{"citationItems":[{"id":"ITEM-1","itemData":{"ISSN":"97980000000","abstract":"Penelitian ini berjudul “Situs YouTube Sebagai Media Pemenuhan Kebutuhan Informasi: Sebuah Survei Terhadap Mahasiswa Program Studi Ilmu Perpustakaan Fakultas Ilmu Budaya Universitas Diponegoro Angkatan 2013-2015”. Tujuan dari penelitian ini adalah untuk mengetahui apakah situs YouTube sebagai media pilihan untuk pemenuhan kebutuhan informasi mahasiswa program studi Ilmu Perpustakaan Fakultas Ilmu Budaya Universitas Diponegoro angkatan 2013-2015. Peneliti mengambil penelitian ini atas dasar kebutuhan informasi mahasiswa yang cukup banyak dan semakin berkembangnya teknologi informasi. Desain yang digunakan pada penelitian ini adalah kuantitatif deskriptif dengan metode survei. Teknik pengambilan data yang digunakan pada penelitian ini adalah proporsional stratified random sampling dan metode pengumpulan data menggunakan teknik kuesioner. Metode analisis data yang digunakan pada penelitian ini adalah analisis data deskriptif dan penarikan kesimpulan. Hasil penelitian menyatakan bahwa situs YouTube menjadi pilihan untuk memenuhi kebutuhan informasi mahasiswa, dibuktikan hampir setengahnya 41,1% mahasiswa lebih mudah memahami informasi dari YouTube daripada sumber informasi lain dan informasi pada situs YouTube dapat dipertanggungjawabkan dan relevan.","author":[{"dropping-particle":"","family":"Rohman","given":"Julian Nur","non-dropping-particle":"","parse-names":false,"suffix":""},{"dropping-particle":"","family":"Husna","given":"Jazimatul","non-dropping-particle":"","parse-names":false,"suffix":""}],"container-title":"Jurnal Ilmu Perpustakaan","id":"ITEM-1","issue":"1","issued":{"date-parts":[["2017"]]},"page":"171-180","title":"Situs Youtube Sebagai Media Pemenuhan Kebutuhan Informasi: Sebuah Survei Terhadap Mahasiswa Program Studi Ilmu Perpustakaan Universitas Diponegoro Angkatan 2013-2015","type":"article-journal","volume":"6"},"uris":["http://www.mendeley.com/documents/?uuid=95b33603-d6ad-4697-9346-05c0eef0aaf3"]}],"mendeley":{"formattedCitation":"(Rohman &amp; Husna, 2017)","plainTextFormattedCitation":"(Rohman &amp; Husna, 2017)","previouslyFormattedCitation":"(Rohman &amp; Husna, 2017)"},"properties":{"noteIndex":0},"schema":"https://github.com/citation-style-language/schema/raw/master/csl-citation.json"}</w:instrText>
      </w:r>
      <w:r>
        <w:rPr>
          <w:rFonts w:ascii="Times New Roman" w:hAnsi="Times New Roman" w:cs="Times New Roman"/>
          <w:sz w:val="20"/>
          <w:szCs w:val="20"/>
        </w:rPr>
        <w:fldChar w:fldCharType="separate"/>
      </w:r>
      <w:r w:rsidRPr="00CA0ABD">
        <w:rPr>
          <w:rFonts w:ascii="Times New Roman" w:hAnsi="Times New Roman" w:cs="Times New Roman"/>
          <w:noProof/>
          <w:sz w:val="20"/>
          <w:szCs w:val="20"/>
        </w:rPr>
        <w:t>(Rohman &amp; Husna, 2017)</w:t>
      </w:r>
      <w:r>
        <w:rPr>
          <w:rFonts w:ascii="Times New Roman" w:hAnsi="Times New Roman" w:cs="Times New Roman"/>
          <w:sz w:val="20"/>
          <w:szCs w:val="20"/>
        </w:rPr>
        <w:fldChar w:fldCharType="end"/>
      </w:r>
      <w:r w:rsidRPr="00936806">
        <w:rPr>
          <w:rFonts w:ascii="Times New Roman" w:hAnsi="Times New Roman" w:cs="Times New Roman"/>
          <w:sz w:val="20"/>
          <w:szCs w:val="20"/>
        </w:rPr>
        <w:t>.</w:t>
      </w:r>
    </w:p>
    <w:p w14:paraId="62C35C16"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 xml:space="preserve">The internet provides a variety of resources that include health articles, educational videos, discussion forums, and blogs written by health professionals and other parent experiences. This diversity allows parents to gain different perspectives and find solutions that suit their needs. In addition, parents can also compare information from various sources. This is as well as what was found by </w:t>
      </w:r>
      <w:r w:rsidRPr="00CA0ABD">
        <w:rPr>
          <w:rFonts w:ascii="Times New Roman" w:hAnsi="Times New Roman" w:cs="Times New Roman"/>
          <w:noProof/>
          <w:sz w:val="20"/>
          <w:szCs w:val="20"/>
        </w:rPr>
        <w:t xml:space="preserve">Zucco et al.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{"citationItems":[{"id":"ITEM-1","itemData":{"DOI":"10.1016/j.ijmedinf.2017.12.005","ISSN":"18728243","PMID":"29425624","abstract":"Background The Internet represents an increasingly common source of health-related information. Internet and Social Media can be used to promote a prudent use of antibiotics. Objective To establish the extent of Internet and Social Media use to search for antibiotic related information and the potential implications in health care among adult population in Italy. Methods This cross-sectional study was conducted from March to May 2017, among a sample of parents of public school students. A 2-stage cluster sample design was planned. An informed consent form and a questionnaire were given to selected students to deliver to their parents. The questionnaire included questions on knowledge, attitudes, and behavior toward antibiotic use, and questions about Internet use to gather information about antibiotics. Results A total of 913 parents completed the questionnaire, with a 67.4% response rate; 22.1% did not know when it was appropriate to use antibiotics. 32.3% of parents reported self-medication with antibiotics. 73.4% of respondents used the Internet to search for information about antibiotic use. Among social networks users, 46.5% reported the use of these media to get information about antibiotics and 45% of instant messaging app users share information about antibiotics. The results of the multiple logistic regression analysis showed that Internet use to search for antibiotic-related information was higher among females, younger subjects, with a higher level of education, in those who reported self-medication with antibiotics and in those who needed additional information on side effects of antibiotics from the GP compared with those who did not need any additional information. Internet use was significantly less likely in participants with cardiovascular diseases and cancer compared with those without chronic conditions, and in those who reported to strongly agree/agree, or were uncertain about antibiotic use without a GP prescription, compared with those who reported to be disagree/strongly disagree. Conclusions Internet and social media are widely used for antibiotic-related information seeking in the Italian population. Health organizations must consider social media within their communication strategy to promote the appropriate Web use for antibiotic-related information seeking in the general population, although more evidence is needed regarding the optimal mix of communication interventions.","author":[{"dropping-particle":"","family":"Zucco","given":"Rossella","non-dropping-particle":"","parse-names":false,"suffix":""},{"dropping-particle":"","family":"Lavano","given":"Francesco","non-dropping-particle":"","parse-names":false,"suffix":""},{"dropping-particle":"","family":"Anfosso","given":"Rosa","non-dropping-particle":"","parse-names":false,"suffix":""},{"dropping-particle":"","family":"Bianco","given":"Aida","non-dropping-particle":"","parse-names":false,"suffix":""},{"dropping-particle":"","family":"Pileggi","given":"Claudia","non-dropping-particle":"","parse-names":false,"suffix":""},{"dropping-particle":"","family":"Pavia","given":"Maria","non-dropping-particle":"","parse-names":false,"suffix":""}],"container-title":"International Journal of Medical Informatics","id":"ITEM-1","issue":"August 2017","issued":{"date-parts":[["2018"]]},"page":"131-139","publisher":"Elsevier","title":"Internet and social media use for antibiotic-related information seeking: Findings from a survey among adult population in Italy","type":"article-journal","volume":"111"},"uris":["http://www.mendeley.com/documents/?uuid=fa28652a-7950-4241-8044-a349920d62d6"]}],"mendeley":{"formattedCitation":"(Zucco et al., 2018)","manualFormatting":"(2018)","plainTextFormattedCitation":"(Zucco et al., 2018)","previouslyFormattedCitation":"(Zucco et al., 2018)"},"properties":{"noteIndex":0},"schema":"https://github.com/citation-style-language/schema/raw/master/csl-citation.json"}</w:instrText>
      </w:r>
      <w:r>
        <w:rPr>
          <w:rFonts w:ascii="Times New Roman" w:hAnsi="Times New Roman" w:cs="Times New Roman"/>
          <w:sz w:val="20"/>
          <w:szCs w:val="20"/>
        </w:rPr>
        <w:fldChar w:fldCharType="separate"/>
      </w:r>
      <w:r w:rsidRPr="00CA0ABD">
        <w:rPr>
          <w:rFonts w:ascii="Times New Roman" w:hAnsi="Times New Roman" w:cs="Times New Roman"/>
          <w:noProof/>
          <w:sz w:val="20"/>
          <w:szCs w:val="20"/>
        </w:rPr>
        <w:t>(2018)</w:t>
      </w:r>
      <w:r>
        <w:rPr>
          <w:rFonts w:ascii="Times New Roman" w:hAnsi="Times New Roman" w:cs="Times New Roman"/>
          <w:sz w:val="20"/>
          <w:szCs w:val="20"/>
        </w:rPr>
        <w:fldChar w:fldCharType="end"/>
      </w:r>
      <w:r>
        <w:rPr>
          <w:rFonts w:ascii="Times New Roman" w:hAnsi="Times New Roman" w:cs="Times New Roman"/>
          <w:sz w:val="20"/>
          <w:szCs w:val="20"/>
        </w:rPr>
        <w:t xml:space="preserve"> that through the internet and social media, users can find various opinions, reviews of other patients, and user experiences related to certain health information. This is sometimes felt to provide a broader perspective than the advice of just one doctor.</w:t>
      </w:r>
    </w:p>
    <w:p w14:paraId="7BB0A9E1"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The internet also provides easy access that is not limited by time and location. In contrast to traditional sources of information, such as doctor's consultation schedules that are limited by working hours, the internet allows parents to find information anytime they need it. Parents can look for health information at any time, either in the morning before leaving for work, while waiting in the queue, or at night when the children are already asleep. This flexibility is essential for parents to seek information at the time that is most convenient for them.</w:t>
      </w:r>
    </w:p>
    <w:p w14:paraId="4372208A"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When parents find an emergency situation or urgent concern related to their child's health, they can immediately search for relevant information without having to wait until the next consultation schedule. For example, if a child shows suspicious symptoms or parents get new information about a potential health problem, they can immediately find out more about the situation and take appropriate action. It provides a sense of calm and control in situations that are often stressful.</w:t>
      </w:r>
    </w:p>
    <w:p w14:paraId="0C571518" w14:textId="77777777" w:rsidR="00640082" w:rsidRDefault="00640082" w:rsidP="00FB22BF">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 xml:space="preserve">In online information searches, parents often use certain keywords that reflect what they are looking for. For example, they type words like "how to prevent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"Best Nutrition for 2-Year-Olds," or "Symptoms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on children." By using the right keywords, they can filter the search results to find more relevant and useful information, saving time and effort in the search process. By focusing on searching for these topics through digital platforms, parents can gain deeper and more targeted insights into ways to support their child's health and growth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{"citationItems":[{"id":"ITEM-1","itemData":{"DOI":"https://doi.org/10.55927/eajmr.v2i12.6767","abstract":"Indonesia's stunting prevalence 2022 reached 21.6%, which is still high compared to the WHO threshold of 20%. The Indonesian government's target for 2023 is 17% and the target for 2024 is 14%. Stunting is a long-term chronic nutritional condition that disrupts children's growth. In line with the government program, this research was conducted to build an education system &amp; early detection of stunted children using IoT technology. The target users of the system are prospective brides, pregnant women, postpartum mothers and PKK cadres. With the education system and early detection of stunting children, it is hoped that brides-to-be, pregnant women, and postpartum mothers can understand how to prevent stunting babies, and make it easier for users to communicate, consult about stunting babies so that they can reduce the prevalence of stunting according to government targets. The research method used is the classic software development model, which is waterfall.","author":[{"dropping-particle":"","family":"Sudiati","given":"Listiarini Edy","non-dropping-particle":"","parse-names":false,"suffix":""},{"dropping-particle":"","family":"Aditama","given":"Wahyu","non-dropping-particle":"","parse-names":false,"suffix":""},{"dropping-particle":"","family":"Puryono","given":"Daniel Alfa","non-dropping-particle":"","parse-names":false,"suffix":""}],"container-title":"East Asian Journal of Multidisciplinary Research","id":"ITEM-1","issue":"12","issued":{"date-parts":[["2023"]]},"page":"4855-4866","title":"IoT-based Stunting Education and Early Detection System for Stunting-Free Indonesia","type":"article-journal","volume":"2"},"uris":["http://www.mendeley.com/documents/?uuid=a1e51ee2-33c5-44ff-a0e7-e916b6318734"]}],"mendeley":{"formattedCitation":"(Sudiati et al., 2023)","plainTextFormattedCitation":"(Sudiati et al., 2023)","previouslyFormattedCitation":"(Sudiati et al., 2023)"},"properties":{"noteIndex":0},"schema":"https://github.com/citation-style-language/schema/raw/master/csl-citation.json"}</w:instrText>
      </w:r>
      <w:r>
        <w:rPr>
          <w:rFonts w:ascii="Times New Roman" w:hAnsi="Times New Roman" w:cs="Times New Roman"/>
          <w:sz w:val="20"/>
          <w:szCs w:val="20"/>
        </w:rPr>
        <w:fldChar w:fldCharType="separate"/>
      </w:r>
      <w:r w:rsidRPr="00865B3D">
        <w:rPr>
          <w:rFonts w:ascii="Times New Roman" w:hAnsi="Times New Roman" w:cs="Times New Roman"/>
          <w:noProof/>
          <w:sz w:val="20"/>
          <w:szCs w:val="20"/>
        </w:rPr>
        <w:t>(Sudiati et al., 2023)</w:t>
      </w:r>
      <w:r>
        <w:rPr>
          <w:rFonts w:ascii="Times New Roman" w:hAnsi="Times New Roman" w:cs="Times New Roman"/>
          <w:sz w:val="20"/>
          <w:szCs w:val="20"/>
        </w:rPr>
        <w:fldChar w:fldCharType="end"/>
      </w:r>
      <w:r w:rsidRPr="00936806">
        <w:rPr>
          <w:rFonts w:ascii="Times New Roman" w:hAnsi="Times New Roman" w:cs="Times New Roman"/>
          <w:sz w:val="20"/>
          <w:szCs w:val="20"/>
        </w:rPr>
        <w:t xml:space="preserve">. Often, searching for specific information on the internet is also done in response to an urgent symptom or situation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{"citationItems":[{"id":"ITEM-1","itemData":{"DOI":"https://doi.org/10.59670/jns.v34i.1821","ISSN":"2197-5523","abstract":"This research aims to develop mobile learning media for stunting prevention. The urgency of this research was the development of mobile learning on stunting prevention given to young women, pregnant women, and breastfeeding mothers. Indeed, the most asset was excellent human resources, one of which starts before the child is born. To realize healthy, intelligent, and productive children, optimal nutritional status was needed through continuous improvement of nutrition through various increasingly innovative approaches with information technology. Respondents in the study amounted to 36 people, namely teenage girls, pregnant women, and breastfeeding mothers from 17 years to 35 years-sampling technique with the purposive sampling method. The method used in this research was a mixed method. Based on the results of field tests obtained from testing respondents consisting of 36 respondents, namely 16 young women, eight pregnant women/pregnancy program, and 12 breastfeeding mothers, the percentage value of 86% could be obtained. Referring to the category scale, the percentages obtained by female respondents, pregnant women, and breastfeeding mothers are in the practical category. It could be concluded that the Ayo Prevent Stunting mobile learning was effectively used by Journal of Namibian Studies, 34(2023): 3434-3459 ISSN: 2197-5523 (online) 3435 young women, pregnant women, and nursing mothers, and the product is ready to be distributed.","author":[{"dropping-particle":"","family":"Riska","given":"Nur","non-dropping-particle":"","parse-names":false,"suffix":""},{"dropping-particle":"","family":"Mahir","given":"Imam","non-dropping-particle":"","parse-names":false,"suffix":""}],"container-title":"Journal of Namibian Studies","id":"ITEM-1","issued":{"date-parts":[["2023"]]},"page":"3434-3459","title":"The Effectiveness Of Mobile Learning In Preventing Stunting In The Community","type":"article-journal","volume":"34"},"uris":["http://www.mendeley.com/documents/?uuid=d583ace9-e32f-4206-9abb-f83dea2f84e4"]}],"mendeley":{"formattedCitation":"(Riska &amp; Mahir, 2023)","plainTextFormattedCitation":"(Riska &amp; Mahir, 2023)","previouslyFormattedCitation":"(Riska &amp; Mahir, 2023)"},"properties":{"noteIndex":0},"schema":"https://github.com/citation-style-language/schema/raw/master/csl-citation.json"}</w:instrText>
      </w:r>
      <w:r>
        <w:rPr>
          <w:rFonts w:ascii="Times New Roman" w:hAnsi="Times New Roman" w:cs="Times New Roman"/>
          <w:sz w:val="20"/>
          <w:szCs w:val="20"/>
        </w:rPr>
        <w:fldChar w:fldCharType="separate"/>
      </w:r>
      <w:r w:rsidRPr="00FB22BF">
        <w:rPr>
          <w:rFonts w:ascii="Times New Roman" w:hAnsi="Times New Roman" w:cs="Times New Roman"/>
          <w:noProof/>
          <w:sz w:val="20"/>
          <w:szCs w:val="20"/>
        </w:rPr>
        <w:t>(Riska &amp; Mahir, 2023)</w:t>
      </w:r>
      <w:r>
        <w:rPr>
          <w:rFonts w:ascii="Times New Roman" w:hAnsi="Times New Roman" w:cs="Times New Roman"/>
          <w:sz w:val="20"/>
          <w:szCs w:val="20"/>
        </w:rPr>
        <w:fldChar w:fldCharType="end"/>
      </w:r>
      <w:r w:rsidRPr="00936806">
        <w:rPr>
          <w:rFonts w:ascii="Times New Roman" w:hAnsi="Times New Roman" w:cs="Times New Roman"/>
          <w:sz w:val="20"/>
          <w:szCs w:val="20"/>
        </w:rPr>
        <w:t xml:space="preserve">. For example, if a child shows signs of malnutrition, parents should immediately seek information about "quick solutions to address malnutrition in children." In this way, the search for information is carried out with the aim of finding solutions that can be implemented immediately to maintain the health of the child. </w:t>
      </w:r>
    </w:p>
    <w:p w14:paraId="03D0EDB9" w14:textId="77777777" w:rsidR="00640082" w:rsidRDefault="00640082" w:rsidP="00FB22BF">
      <w:pPr>
        <w:pStyle w:val="BodyText"/>
        <w:ind w:left="717" w:right="-46" w:firstLine="620"/>
        <w:jc w:val="both"/>
        <w:rPr>
          <w:rFonts w:ascii="Times New Roman" w:hAnsi="Times New Roman" w:cs="Times New Roman"/>
          <w:sz w:val="20"/>
          <w:szCs w:val="20"/>
          <w:lang w:val="id-ID"/>
        </w:rPr>
      </w:pPr>
      <w:r w:rsidRPr="00936806">
        <w:rPr>
          <w:rFonts w:ascii="Times New Roman" w:hAnsi="Times New Roman" w:cs="Times New Roman"/>
          <w:sz w:val="20"/>
          <w:szCs w:val="20"/>
        </w:rPr>
        <w:t xml:space="preserve">Unsatisfactory interaction with health workers is also one of the significant factors that encourage parents to seek information about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on the internet. Parents who have negative experiences in interacting with health workers feel less satisfied with the services received. For example, if when consulting a doctor or health worker does not give full attention, does not explain the child's condition clearly, or seems rushed, this makes parents feel neglected. This dissatisfaction drives them to seek answers to their concerns through other sources, such as the internet, where they hope to find more adequate and satisfactory information. When the interaction with health workers is not satisfactory, parents feel that they have lost control and information that does not meet their expectations so that searching for information on the internet can satisfy the need for information about </w:t>
      </w:r>
      <w:r w:rsidRPr="00025B8F">
        <w:rPr>
          <w:rFonts w:ascii="Times New Roman" w:hAnsi="Times New Roman" w:cs="Times New Roman"/>
          <w:sz w:val="20"/>
          <w:szCs w:val="20"/>
        </w:rPr>
        <w:t>stunting</w:t>
      </w:r>
      <w:r w:rsidRPr="00936806">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{"citationItems":[{"id":"ITEM-1","itemData":{"DOI":"10.2991/978-2-494069-77-0_8","ISBN":"9782494069770","abstract":"There is still a lot of confusion in information about stunting, such as the difference between stunting and malnutrition, the diet to prevent stunting, and so on. Valid information related to stunting is already available in digital form, but there is still a lot of misinformation and disinformation that makes people sometimes confused about the validity of information, especially information about stunting, which is obtained from the internet. Assistance to the community in the form of counseling to find information about stunting through digital media is seen as a concrete solution to the above problems. In Sepat Village, Masaran District, Sragen Regency the situation is quite similar. This location was chosen to take into account the condition of the community experiencing stunting, and based on the distance not too far from Surakarta City which is it is assumed that they are more literate regarding information about stunting from digital media. This research will use a qualitative method with pre-test and post-test for the respondent who consists of the housewives in Sepat Village, while also using the digital literacy concept in the process. The result indicates that there is an interconnectivity between digital literacy and stunting prevention, as the result of the post-test showed that the respondent is generally more aware of stunting after they got through the digital literacy session. This research hopefully can become one checkpoint for similar research to prevent stunting in the future.","author":[{"dropping-particle":"","family":"Setyowati","given":"Kristina","non-dropping-particle":"","parse-names":false,"suffix":""},{"dropping-particle":"","family":"Prakoso","given":"Septyanto G.","non-dropping-particle":"","parse-names":false,"suffix":""},{"dropping-particle":"","family":"Utomo","given":"Is Hadri","non-dropping-particle":"","parse-names":false,"suffix":""},{"dropping-particle":"","family":"Parwiyanto","given":"Herwan","non-dropping-particle":"","parse-names":false,"suffix":""},{"dropping-particle":"","family":"Suryawati","given":"Retno","non-dropping-particle":"","parse-names":false,"suffix":""},{"dropping-particle":"","family":"Nugroho","given":"Rino A.","non-dropping-particle":"","parse-names":false,"suffix":""},{"dropping-particle":"","family":"Susiloadi","given":"Priyanto","non-dropping-particle":"","parse-names":false,"suffix":""},{"dropping-particle":"","family":"Santoso","given":"S. A.","non-dropping-particle":"","parse-names":false,"suffix":""}],"container-title":"Proceedings of the 7th International Conference on Social and Political Sciences (ICoSaPS 2022)","id":"ITEM-1","issued":{"date-parts":[["2022"]]},"page":"45-50","title":"Digital Literacy and The Prevention of Stunting from Suburban Perspective: Case in Sepat Village, Sragen","type":"paper-conference"},"uris":["http://www.mendeley.com/documents/?uuid=32c295f3-75e1-4e38-b113-79cc0bab3dd8"]}],"mendeley":{"formattedCitation":"(Setyowati et al., 2022)","plainTextFormattedCitation":"(Setyowati et al., 2022)","previouslyFormattedCitation":"(Setyowati et al., 2022)"},"properties":{"noteIndex":0},"schema":"https://github.com/citation-style-language/schema/raw/master/csl-citation.json"}</w:instrText>
      </w:r>
      <w:r>
        <w:rPr>
          <w:rFonts w:ascii="Times New Roman" w:hAnsi="Times New Roman" w:cs="Times New Roman"/>
          <w:sz w:val="20"/>
          <w:szCs w:val="20"/>
        </w:rPr>
        <w:fldChar w:fldCharType="separate"/>
      </w:r>
      <w:r w:rsidRPr="00FB22BF">
        <w:rPr>
          <w:rFonts w:ascii="Times New Roman" w:hAnsi="Times New Roman" w:cs="Times New Roman"/>
          <w:noProof/>
          <w:sz w:val="20"/>
          <w:szCs w:val="20"/>
        </w:rPr>
        <w:t>(Setyowati et al., 2022)</w:t>
      </w:r>
      <w:r>
        <w:rPr>
          <w:rFonts w:ascii="Times New Roman" w:hAnsi="Times New Roman" w:cs="Times New Roman"/>
          <w:sz w:val="20"/>
          <w:szCs w:val="20"/>
        </w:rPr>
        <w:fldChar w:fldCharType="end"/>
      </w:r>
      <w:r w:rsidRPr="00DD57E7">
        <w:rPr>
          <w:rFonts w:ascii="Times New Roman" w:hAnsi="Times New Roman" w:cs="Times New Roman"/>
          <w:sz w:val="20"/>
          <w:szCs w:val="20"/>
        </w:rPr>
        <w:t>. The internet allows them to choose topics that are relevant to their own situation and explore information from different points of view, which can give them a greater sense of control over their child's health decisions.</w:t>
      </w:r>
    </w:p>
    <w:p w14:paraId="013C87EF" w14:textId="77777777" w:rsidR="00640082" w:rsidRDefault="00640082" w:rsidP="000040CB">
      <w:pPr>
        <w:pStyle w:val="BodyText"/>
        <w:ind w:left="717" w:right="-46" w:firstLine="620"/>
        <w:jc w:val="both"/>
        <w:rPr>
          <w:rFonts w:ascii="Times New Roman" w:hAnsi="Times New Roman" w:cs="Times New Roman"/>
          <w:sz w:val="20"/>
          <w:szCs w:val="20"/>
          <w:lang w:val="id-ID"/>
        </w:rPr>
      </w:pPr>
      <w:r>
        <w:rPr>
          <w:rFonts w:ascii="Times New Roman" w:hAnsi="Times New Roman" w:cs="Times New Roman"/>
          <w:sz w:val="20"/>
          <w:szCs w:val="20"/>
        </w:rPr>
        <w:t xml:space="preserve">The behavior of seeking online information about </w:t>
      </w:r>
      <w:r w:rsidRPr="00025B8F">
        <w:rPr>
          <w:rFonts w:ascii="Times New Roman" w:hAnsi="Times New Roman" w:cs="Times New Roman"/>
          <w:sz w:val="20"/>
          <w:szCs w:val="20"/>
        </w:rPr>
        <w:t>stunting</w:t>
      </w:r>
      <w:r w:rsidRPr="00DD57E7">
        <w:rPr>
          <w:rFonts w:ascii="Times New Roman" w:hAnsi="Times New Roman" w:cs="Times New Roman"/>
          <w:sz w:val="20"/>
          <w:szCs w:val="20"/>
        </w:rPr>
        <w:t xml:space="preserve"> in parents in </w:t>
      </w:r>
      <w:proofErr w:type="spellStart"/>
      <w:r w:rsidRPr="00DD57E7">
        <w:rPr>
          <w:rFonts w:ascii="Times New Roman" w:hAnsi="Times New Roman" w:cs="Times New Roman"/>
          <w:sz w:val="20"/>
          <w:szCs w:val="20"/>
        </w:rPr>
        <w:t>Palopo</w:t>
      </w:r>
      <w:proofErr w:type="spellEnd"/>
      <w:r w:rsidRPr="00DD57E7">
        <w:rPr>
          <w:rFonts w:ascii="Times New Roman" w:hAnsi="Times New Roman" w:cs="Times New Roman"/>
          <w:sz w:val="20"/>
          <w:szCs w:val="20"/>
        </w:rPr>
        <w:t xml:space="preserve"> can be understood through the lens of Emile Durkheim's structural functionalism theory. This theory emphasizes that society is made up of parts that interact with each other and function to maintain social stability and individual well-being. Durkheim argues that social solidarity and the norms that prevail in society influence individual behavior. In the case of parents in </w:t>
      </w:r>
      <w:proofErr w:type="spellStart"/>
      <w:r w:rsidRPr="00DD57E7">
        <w:rPr>
          <w:rFonts w:ascii="Times New Roman" w:hAnsi="Times New Roman" w:cs="Times New Roman"/>
          <w:sz w:val="20"/>
          <w:szCs w:val="20"/>
        </w:rPr>
        <w:t>Palopo</w:t>
      </w:r>
      <w:proofErr w:type="spellEnd"/>
      <w:r w:rsidRPr="00DD57E7">
        <w:rPr>
          <w:rFonts w:ascii="Times New Roman" w:hAnsi="Times New Roman" w:cs="Times New Roman"/>
          <w:sz w:val="20"/>
          <w:szCs w:val="20"/>
        </w:rPr>
        <w:t xml:space="preserve">, there are strong norms and values related to child health and </w:t>
      </w:r>
      <w:r w:rsidRPr="00025B8F">
        <w:rPr>
          <w:rFonts w:ascii="Times New Roman" w:hAnsi="Times New Roman" w:cs="Times New Roman"/>
          <w:sz w:val="20"/>
          <w:szCs w:val="20"/>
        </w:rPr>
        <w:t>stunting</w:t>
      </w:r>
      <w:r w:rsidRPr="00DD57E7">
        <w:rPr>
          <w:rFonts w:ascii="Times New Roman" w:hAnsi="Times New Roman" w:cs="Times New Roman"/>
          <w:sz w:val="20"/>
          <w:szCs w:val="20"/>
        </w:rPr>
        <w:t xml:space="preserve"> prevention. Parents feel a responsibility to provide the best for their children, and information about </w:t>
      </w:r>
      <w:r w:rsidRPr="00025B8F">
        <w:rPr>
          <w:rFonts w:ascii="Times New Roman" w:hAnsi="Times New Roman" w:cs="Times New Roman"/>
          <w:sz w:val="20"/>
          <w:szCs w:val="20"/>
        </w:rPr>
        <w:t>stunting</w:t>
      </w:r>
      <w:r w:rsidRPr="00DD57E7">
        <w:rPr>
          <w:rFonts w:ascii="Times New Roman" w:hAnsi="Times New Roman" w:cs="Times New Roman"/>
          <w:sz w:val="20"/>
          <w:szCs w:val="20"/>
        </w:rPr>
        <w:t xml:space="preserve"> is considered very important in fulfilling this responsibility. When parents feel the risk of </w:t>
      </w:r>
      <w:r w:rsidRPr="00025B8F">
        <w:rPr>
          <w:rFonts w:ascii="Times New Roman" w:hAnsi="Times New Roman" w:cs="Times New Roman"/>
          <w:sz w:val="20"/>
          <w:szCs w:val="20"/>
        </w:rPr>
        <w:t>stunting</w:t>
      </w:r>
      <w:r w:rsidRPr="00DD57E7">
        <w:rPr>
          <w:rFonts w:ascii="Times New Roman" w:hAnsi="Times New Roman" w:cs="Times New Roman"/>
          <w:sz w:val="20"/>
          <w:szCs w:val="20"/>
        </w:rPr>
        <w:t xml:space="preserve"> in their children, they are encouraged to actively seek information to meet existing social expectations and norms.</w:t>
      </w:r>
    </w:p>
    <w:p w14:paraId="0A37985F"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DD57E7">
        <w:rPr>
          <w:rFonts w:ascii="Times New Roman" w:hAnsi="Times New Roman" w:cs="Times New Roman"/>
          <w:sz w:val="20"/>
          <w:szCs w:val="20"/>
        </w:rPr>
        <w:t>In the perspective of structural functionalism, information serves as a tool to maintain social balance. When parents feel anxious about their child's health, online information search can be considered a coping mechanism that helps them relieve that anxiety. By getting the information they are looking for, parents can feel more confident and able to overcome the problems they are facing. This shows that the search for information not only serves to meet individual needs but also supports social stability by increasing the role of parents in parenting and child care.</w:t>
      </w:r>
    </w:p>
    <w:p w14:paraId="11DD1F00" w14:textId="77777777" w:rsidR="00640082" w:rsidRDefault="00640082" w:rsidP="000040CB">
      <w:pPr>
        <w:pStyle w:val="BodyText"/>
        <w:ind w:left="717" w:right="-46" w:firstLine="620"/>
        <w:jc w:val="both"/>
        <w:rPr>
          <w:rFonts w:ascii="Times New Roman" w:hAnsi="Times New Roman" w:cs="Times New Roman"/>
          <w:sz w:val="20"/>
          <w:szCs w:val="20"/>
          <w:lang w:val="id-ID"/>
        </w:rPr>
      </w:pPr>
      <w:r w:rsidRPr="00DD57E7">
        <w:rPr>
          <w:rFonts w:ascii="Times New Roman" w:hAnsi="Times New Roman" w:cs="Times New Roman"/>
          <w:sz w:val="20"/>
          <w:szCs w:val="20"/>
        </w:rPr>
        <w:t xml:space="preserve">Structural functionalism highlights the importance of adaptation to social change. In today's digital era, the use of the internet as a source of health information reflects a change in the way parents seek knowledge. Easy and fast access to information through digital devices creates opportunities for parents to adapt to the demands of the times. In this context, the use of </w:t>
      </w:r>
      <w:r w:rsidRPr="00CA0ABD">
        <w:rPr>
          <w:rFonts w:ascii="Times New Roman" w:hAnsi="Times New Roman" w:cs="Times New Roman"/>
          <w:i/>
          <w:iCs/>
          <w:sz w:val="20"/>
          <w:szCs w:val="20"/>
        </w:rPr>
        <w:t>smartphones</w:t>
      </w:r>
      <w:r w:rsidRPr="00DD57E7">
        <w:rPr>
          <w:rFonts w:ascii="Times New Roman" w:hAnsi="Times New Roman" w:cs="Times New Roman"/>
          <w:sz w:val="20"/>
          <w:szCs w:val="20"/>
        </w:rPr>
        <w:t xml:space="preserve"> and online platforms such as Google and YouTube </w:t>
      </w:r>
      <w:proofErr w:type="gramStart"/>
      <w:r w:rsidRPr="00DD57E7">
        <w:rPr>
          <w:rFonts w:ascii="Times New Roman" w:hAnsi="Times New Roman" w:cs="Times New Roman"/>
          <w:sz w:val="20"/>
          <w:szCs w:val="20"/>
        </w:rPr>
        <w:t>shows</w:t>
      </w:r>
      <w:proofErr w:type="gramEnd"/>
      <w:r w:rsidRPr="00DD57E7">
        <w:rPr>
          <w:rFonts w:ascii="Times New Roman" w:hAnsi="Times New Roman" w:cs="Times New Roman"/>
          <w:sz w:val="20"/>
          <w:szCs w:val="20"/>
        </w:rPr>
        <w:t xml:space="preserve"> that parents are able to adapt to technology to meet urgent health information needs. Through the lens of Durkheim's structural functionalism theory, it can be seen that this search for information not only serves as a response to individual needs, but also as part of a larger mechanism for maintaining social balance and adaptation to social change.</w:t>
      </w:r>
    </w:p>
    <w:p w14:paraId="6AFB019A" w14:textId="77777777" w:rsidR="00640082" w:rsidRDefault="00640082" w:rsidP="00CD2D17">
      <w:pPr>
        <w:pStyle w:val="BodyText"/>
        <w:ind w:left="717" w:right="-46" w:firstLine="620"/>
        <w:jc w:val="both"/>
        <w:rPr>
          <w:rFonts w:ascii="Times New Roman" w:hAnsi="Times New Roman" w:cs="Times New Roman"/>
          <w:sz w:val="20"/>
          <w:szCs w:val="20"/>
        </w:rPr>
      </w:pPr>
    </w:p>
    <w:p w14:paraId="3A7954CA" w14:textId="77777777" w:rsidR="00640082" w:rsidRPr="007B43A3" w:rsidRDefault="00640082" w:rsidP="00640082">
      <w:pPr>
        <w:pStyle w:val="ListParagraph"/>
        <w:numPr>
          <w:ilvl w:val="0"/>
          <w:numId w:val="2"/>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rPr>
        <w:t>Conclusions</w:t>
      </w:r>
    </w:p>
    <w:p w14:paraId="5BB6918A" w14:textId="77777777" w:rsidR="00640082" w:rsidRPr="00651E9A" w:rsidRDefault="00640082" w:rsidP="00A25B15">
      <w:pPr>
        <w:pStyle w:val="NormalWeb"/>
        <w:spacing w:before="0" w:beforeAutospacing="0" w:after="0" w:afterAutospacing="0"/>
        <w:ind w:left="720" w:firstLine="720"/>
        <w:jc w:val="both"/>
        <w:rPr>
          <w:color w:val="000000"/>
          <w:sz w:val="20"/>
          <w:szCs w:val="20"/>
          <w:lang w:val="en-ID"/>
        </w:rPr>
      </w:pPr>
      <w:r w:rsidRPr="00651E9A">
        <w:rPr>
          <w:color w:val="000000"/>
          <w:sz w:val="20"/>
          <w:szCs w:val="20"/>
          <w:lang w:val="en-ID"/>
        </w:rPr>
        <w:t xml:space="preserve">Based on the results of the research and discussions that have been presented, it can be concluded that parents in </w:t>
      </w:r>
      <w:proofErr w:type="spellStart"/>
      <w:r w:rsidRPr="00651E9A">
        <w:rPr>
          <w:color w:val="000000"/>
          <w:sz w:val="20"/>
          <w:szCs w:val="20"/>
          <w:lang w:val="en-ID"/>
        </w:rPr>
        <w:t>Palopo</w:t>
      </w:r>
      <w:proofErr w:type="spellEnd"/>
      <w:r w:rsidRPr="00651E9A">
        <w:rPr>
          <w:color w:val="000000"/>
          <w:sz w:val="20"/>
          <w:szCs w:val="20"/>
          <w:lang w:val="en-ID"/>
        </w:rPr>
        <w:t xml:space="preserve"> show active online information search </w:t>
      </w:r>
      <w:proofErr w:type="spellStart"/>
      <w:r w:rsidRPr="00651E9A">
        <w:rPr>
          <w:color w:val="000000"/>
          <w:sz w:val="20"/>
          <w:szCs w:val="20"/>
          <w:lang w:val="en-ID"/>
        </w:rPr>
        <w:t>behavior</w:t>
      </w:r>
      <w:proofErr w:type="spellEnd"/>
      <w:r w:rsidRPr="00651E9A">
        <w:rPr>
          <w:color w:val="000000"/>
          <w:sz w:val="20"/>
          <w:szCs w:val="20"/>
          <w:lang w:val="en-ID"/>
        </w:rPr>
        <w:t xml:space="preserve"> related to stunting, driven by various factors including ease of access, preference for visual formats, and the need to overcome anxiety about children's health. The use of smartphones as the main tool to access information shows adaptation to technological advances and changes in the way parents acquire knowledge.</w:t>
      </w:r>
    </w:p>
    <w:p w14:paraId="05FA31E7" w14:textId="77777777" w:rsidR="00640082" w:rsidRPr="00651E9A" w:rsidRDefault="00640082" w:rsidP="00A25B15">
      <w:pPr>
        <w:pStyle w:val="NormalWeb"/>
        <w:spacing w:before="0" w:beforeAutospacing="0" w:after="0" w:afterAutospacing="0"/>
        <w:ind w:left="720" w:firstLine="720"/>
        <w:jc w:val="both"/>
        <w:rPr>
          <w:color w:val="000000"/>
          <w:sz w:val="20"/>
          <w:szCs w:val="20"/>
          <w:lang w:val="en-ID"/>
        </w:rPr>
      </w:pPr>
      <w:r w:rsidRPr="00651E9A">
        <w:rPr>
          <w:color w:val="000000"/>
          <w:sz w:val="20"/>
          <w:szCs w:val="20"/>
          <w:lang w:val="en-ID"/>
        </w:rPr>
        <w:t>Parents tend to use search engines like Google and video platforms like YouTube to search for relevant information, focusing on specific aspects related to parenting and nutrition. This online information search serves as a coping mechanism that helps relieve anxiety and increase parents' confidence in making health decisions. Furthermore, unsatisfactory interactions with health workers also encourage parents to search the internet, where they hope to find more adequate answers. Through the perspective of Durkheim's structural functionalism, this online search for information is not only seen as an individual response, but also as part of a collective effort to maintain social balance and meet the norms and expectations that prevail in society regarding child health.</w:t>
      </w:r>
    </w:p>
    <w:p w14:paraId="6A592B6E" w14:textId="77777777" w:rsidR="00640082" w:rsidRPr="00651E9A" w:rsidRDefault="00640082" w:rsidP="00A25B15">
      <w:pPr>
        <w:pStyle w:val="NormalWeb"/>
        <w:spacing w:before="0" w:beforeAutospacing="0" w:after="0" w:afterAutospacing="0"/>
        <w:ind w:left="720" w:firstLine="720"/>
        <w:jc w:val="both"/>
        <w:rPr>
          <w:color w:val="000000"/>
          <w:sz w:val="20"/>
          <w:szCs w:val="20"/>
          <w:lang w:val="en-ID"/>
        </w:rPr>
      </w:pPr>
      <w:r w:rsidRPr="00651E9A">
        <w:rPr>
          <w:color w:val="000000"/>
          <w:sz w:val="20"/>
          <w:szCs w:val="20"/>
          <w:lang w:val="en-ID"/>
        </w:rPr>
        <w:t xml:space="preserve">However, this study has its limitations. The research only involved 5 informants, which may restrict the generalizability of the findings. The limited sample size makes it challenging to capture a broader perspective and diversity of experiences among parents in </w:t>
      </w:r>
      <w:proofErr w:type="spellStart"/>
      <w:r w:rsidRPr="00651E9A">
        <w:rPr>
          <w:color w:val="000000"/>
          <w:sz w:val="20"/>
          <w:szCs w:val="20"/>
          <w:lang w:val="en-ID"/>
        </w:rPr>
        <w:t>Palopo</w:t>
      </w:r>
      <w:proofErr w:type="spellEnd"/>
      <w:r w:rsidRPr="00651E9A">
        <w:rPr>
          <w:color w:val="000000"/>
          <w:sz w:val="20"/>
          <w:szCs w:val="20"/>
          <w:lang w:val="en-ID"/>
        </w:rPr>
        <w:t xml:space="preserve">. Future research with a larger and more varied sample is recommended to provide a more comprehensive understanding of online information-seeking </w:t>
      </w:r>
      <w:proofErr w:type="spellStart"/>
      <w:r w:rsidRPr="00651E9A">
        <w:rPr>
          <w:color w:val="000000"/>
          <w:sz w:val="20"/>
          <w:szCs w:val="20"/>
          <w:lang w:val="en-ID"/>
        </w:rPr>
        <w:t>behavior</w:t>
      </w:r>
      <w:proofErr w:type="spellEnd"/>
      <w:r w:rsidRPr="00651E9A">
        <w:rPr>
          <w:color w:val="000000"/>
          <w:sz w:val="20"/>
          <w:szCs w:val="20"/>
          <w:lang w:val="en-ID"/>
        </w:rPr>
        <w:t xml:space="preserve"> in the context of stunting.</w:t>
      </w:r>
    </w:p>
    <w:p w14:paraId="79E403DB" w14:textId="77777777" w:rsidR="00640082" w:rsidRPr="00DD57E7" w:rsidRDefault="00640082" w:rsidP="00A25B15">
      <w:pPr>
        <w:pStyle w:val="NormalWeb"/>
        <w:spacing w:before="0" w:beforeAutospacing="0" w:after="0" w:afterAutospacing="0"/>
        <w:ind w:left="720" w:firstLine="720"/>
        <w:jc w:val="both"/>
        <w:rPr>
          <w:color w:val="000000"/>
          <w:sz w:val="20"/>
          <w:szCs w:val="20"/>
          <w:lang w:val="en-ID"/>
        </w:rPr>
      </w:pPr>
      <w:r w:rsidRPr="00651E9A">
        <w:rPr>
          <w:color w:val="000000"/>
          <w:sz w:val="20"/>
          <w:szCs w:val="20"/>
          <w:lang w:val="en-ID"/>
        </w:rPr>
        <w:t xml:space="preserve">Overall, this study shows the importance of understanding parents' online information-seeking </w:t>
      </w:r>
      <w:proofErr w:type="spellStart"/>
      <w:r w:rsidRPr="00651E9A">
        <w:rPr>
          <w:color w:val="000000"/>
          <w:sz w:val="20"/>
          <w:szCs w:val="20"/>
          <w:lang w:val="en-ID"/>
        </w:rPr>
        <w:t>behavior</w:t>
      </w:r>
      <w:proofErr w:type="spellEnd"/>
      <w:r w:rsidRPr="00651E9A">
        <w:rPr>
          <w:color w:val="000000"/>
          <w:sz w:val="20"/>
          <w:szCs w:val="20"/>
          <w:lang w:val="en-ID"/>
        </w:rPr>
        <w:t xml:space="preserve"> in the context of stunting, as well as its implications for children's health and well-being, which is a social responsibility carried by parents. This emphasizes the need to improve health services and better support for parents, as well as harness the potential of online information for stunting education and prevention.</w:t>
      </w:r>
    </w:p>
    <w:p w14:paraId="3B74F427" w14:textId="77777777" w:rsidR="00640082" w:rsidRDefault="00640082" w:rsidP="00395D5E">
      <w:pPr>
        <w:pStyle w:val="NormalWeb"/>
        <w:spacing w:before="0" w:beforeAutospacing="0" w:after="0" w:afterAutospacing="0"/>
        <w:ind w:left="720" w:firstLine="720"/>
        <w:jc w:val="both"/>
        <w:rPr>
          <w:color w:val="000000"/>
          <w:sz w:val="20"/>
          <w:szCs w:val="20"/>
        </w:rPr>
      </w:pPr>
    </w:p>
    <w:p w14:paraId="10C73EEF" w14:textId="77777777" w:rsidR="00640082" w:rsidRPr="00124A54" w:rsidRDefault="00640082" w:rsidP="00395D5E">
      <w:pPr>
        <w:pStyle w:val="NormalWeb"/>
        <w:spacing w:before="0" w:beforeAutospacing="0" w:after="0" w:afterAutospacing="0"/>
        <w:ind w:left="717"/>
        <w:jc w:val="both"/>
        <w:rPr>
          <w:b/>
          <w:bCs/>
          <w:color w:val="000000"/>
          <w:lang w:val="sv-SE"/>
        </w:rPr>
      </w:pPr>
      <w:r w:rsidRPr="00124A54">
        <w:rPr>
          <w:b/>
          <w:bCs/>
          <w:color w:val="000000"/>
          <w:lang w:val="sv-SE"/>
        </w:rPr>
        <w:t>Reference</w:t>
      </w:r>
    </w:p>
    <w:p w14:paraId="46C6043B"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sz w:val="20"/>
          <w:szCs w:val="20"/>
        </w:rPr>
        <w:fldChar w:fldCharType="begin" w:fldLock="1"/>
      </w:r>
      <w:r w:rsidRPr="00A714D2">
        <w:rPr>
          <w:rFonts w:ascii="Times New Roman" w:hAnsi="Times New Roman" w:cs="Times New Roman"/>
          <w:sz w:val="20"/>
          <w:szCs w:val="20"/>
        </w:rPr>
        <w:instrText xml:space="preserve">ADDIN Mendeley Bibliography CSL_BIBLIOGRAPHY </w:instrText>
      </w:r>
      <w:r w:rsidRPr="00A714D2">
        <w:rPr>
          <w:rFonts w:ascii="Times New Roman" w:hAnsi="Times New Roman" w:cs="Times New Roman"/>
          <w:sz w:val="20"/>
          <w:szCs w:val="20"/>
        </w:rPr>
        <w:fldChar w:fldCharType="separate"/>
      </w:r>
      <w:r w:rsidRPr="00A714D2">
        <w:rPr>
          <w:rFonts w:ascii="Times New Roman" w:hAnsi="Times New Roman" w:cs="Times New Roman"/>
          <w:noProof/>
          <w:sz w:val="20"/>
          <w:szCs w:val="28"/>
        </w:rPr>
        <w:t xml:space="preserve">Adam, H. (2022). Telaah Penggunaan Literasi Kesehatan Digital Pada Mahasiswa Fakultas Kesehatan Masyarakat Universitas Sam Ratulangi. </w:t>
      </w:r>
      <w:r w:rsidRPr="00A714D2">
        <w:rPr>
          <w:rFonts w:ascii="Times New Roman" w:hAnsi="Times New Roman" w:cs="Times New Roman"/>
          <w:i/>
          <w:iCs/>
          <w:noProof/>
          <w:sz w:val="20"/>
          <w:szCs w:val="28"/>
        </w:rPr>
        <w:t>Jurnal Lentera - Penelitian Dan Pengabdian Masyarakat</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2</w:t>
      </w:r>
      <w:r w:rsidRPr="00A714D2">
        <w:rPr>
          <w:rFonts w:ascii="Times New Roman" w:hAnsi="Times New Roman" w:cs="Times New Roman"/>
          <w:noProof/>
          <w:sz w:val="20"/>
          <w:szCs w:val="28"/>
        </w:rPr>
        <w:t>(2), 27–30. https://doi.org/10.57207/lentera.v2i2.27</w:t>
      </w:r>
    </w:p>
    <w:p w14:paraId="359D281F"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Creswell, J. W. (2010). </w:t>
      </w:r>
      <w:r w:rsidRPr="00A714D2">
        <w:rPr>
          <w:rFonts w:ascii="Times New Roman" w:hAnsi="Times New Roman" w:cs="Times New Roman"/>
          <w:i/>
          <w:iCs/>
          <w:noProof/>
          <w:sz w:val="20"/>
          <w:szCs w:val="28"/>
        </w:rPr>
        <w:t>Research Design: Pendekatan Kualitatif, Kuantitatif, dan Mixed</w:t>
      </w:r>
      <w:r w:rsidRPr="00A714D2">
        <w:rPr>
          <w:rFonts w:ascii="Times New Roman" w:hAnsi="Times New Roman" w:cs="Times New Roman"/>
          <w:noProof/>
          <w:sz w:val="20"/>
          <w:szCs w:val="28"/>
        </w:rPr>
        <w:t>. Pustaka Pelajar.</w:t>
      </w:r>
    </w:p>
    <w:p w14:paraId="6918FB2F"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de Onis, M., &amp; Branca, F. (2016). Childhood stunting: A global perspective. </w:t>
      </w:r>
      <w:r w:rsidRPr="00A714D2">
        <w:rPr>
          <w:rFonts w:ascii="Times New Roman" w:hAnsi="Times New Roman" w:cs="Times New Roman"/>
          <w:i/>
          <w:iCs/>
          <w:noProof/>
          <w:sz w:val="20"/>
          <w:szCs w:val="28"/>
        </w:rPr>
        <w:t>Maternal and Child Nutrition</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12</w:t>
      </w:r>
      <w:r w:rsidRPr="00A714D2">
        <w:rPr>
          <w:rFonts w:ascii="Times New Roman" w:hAnsi="Times New Roman" w:cs="Times New Roman"/>
          <w:noProof/>
          <w:sz w:val="20"/>
          <w:szCs w:val="28"/>
        </w:rPr>
        <w:t>, 12–26. https://doi.org/https://doi.org/10.1111/mcn.12231</w:t>
      </w:r>
    </w:p>
    <w:p w14:paraId="7E6936AD"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Derma, C., &amp; Darwinsyah, M. (2023). Pengaruh Penggunaan Youtube Terhadap Pemenuhan Kebutuhan Informasi Siswa SMK Mahanaim Bekasi. </w:t>
      </w:r>
      <w:r w:rsidRPr="00A714D2">
        <w:rPr>
          <w:rFonts w:ascii="Times New Roman" w:hAnsi="Times New Roman" w:cs="Times New Roman"/>
          <w:i/>
          <w:iCs/>
          <w:noProof/>
          <w:sz w:val="20"/>
          <w:szCs w:val="28"/>
        </w:rPr>
        <w:t>Jurnal Media Penyiaran</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Volume 03</w:t>
      </w:r>
      <w:r w:rsidRPr="00A714D2">
        <w:rPr>
          <w:rFonts w:ascii="Times New Roman" w:hAnsi="Times New Roman" w:cs="Times New Roman"/>
          <w:noProof/>
          <w:sz w:val="20"/>
          <w:szCs w:val="28"/>
        </w:rPr>
        <w:t>, 01–07. https://doi.org/https://doi.org/10.31294/jmp.v3i01.1459</w:t>
      </w:r>
    </w:p>
    <w:p w14:paraId="25638DAD"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DiCristina, B. (2016). Durkheim’s theory of anomie and crime: A clarification and elaboration. </w:t>
      </w:r>
      <w:r w:rsidRPr="00A714D2">
        <w:rPr>
          <w:rFonts w:ascii="Times New Roman" w:hAnsi="Times New Roman" w:cs="Times New Roman"/>
          <w:i/>
          <w:iCs/>
          <w:noProof/>
          <w:sz w:val="20"/>
          <w:szCs w:val="28"/>
        </w:rPr>
        <w:t>Australian and New Zealand Journal of Criminology</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49</w:t>
      </w:r>
      <w:r w:rsidRPr="00A714D2">
        <w:rPr>
          <w:rFonts w:ascii="Times New Roman" w:hAnsi="Times New Roman" w:cs="Times New Roman"/>
          <w:noProof/>
          <w:sz w:val="20"/>
          <w:szCs w:val="28"/>
        </w:rPr>
        <w:t>(3), 311–331. https://doi.org/https://doi.org/10.1177/0004865815585391</w:t>
      </w:r>
    </w:p>
    <w:p w14:paraId="773EDF04"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Fitri, R., Khomsan, A., &amp; Dwiriani, C. M. (2024). The dominant factors associated with stunting among two years children in five provinces in Indonesia. </w:t>
      </w:r>
      <w:r w:rsidRPr="00A714D2">
        <w:rPr>
          <w:rFonts w:ascii="Times New Roman" w:hAnsi="Times New Roman" w:cs="Times New Roman"/>
          <w:i/>
          <w:iCs/>
          <w:noProof/>
          <w:sz w:val="20"/>
          <w:szCs w:val="28"/>
        </w:rPr>
        <w:t>AcTion: Aceh Nutrition Journal</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9</w:t>
      </w:r>
      <w:r w:rsidRPr="00A714D2">
        <w:rPr>
          <w:rFonts w:ascii="Times New Roman" w:hAnsi="Times New Roman" w:cs="Times New Roman"/>
          <w:noProof/>
          <w:sz w:val="20"/>
          <w:szCs w:val="28"/>
        </w:rPr>
        <w:t>(1), 100. https://doi.org/10.30867/action.v9i1.1557</w:t>
      </w:r>
    </w:p>
    <w:p w14:paraId="41FE8CFF"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Gofman, A. (2014). Durkheim’s Theory of Social Solidarity and Social Rules. In V. Jeffries (Ed.), </w:t>
      </w:r>
      <w:r w:rsidRPr="00A714D2">
        <w:rPr>
          <w:rFonts w:ascii="Times New Roman" w:hAnsi="Times New Roman" w:cs="Times New Roman"/>
          <w:i/>
          <w:iCs/>
          <w:noProof/>
          <w:sz w:val="20"/>
          <w:szCs w:val="28"/>
        </w:rPr>
        <w:t>The Palgrave Handbook of Altruism, Morality, and Social Solidarity</w:t>
      </w:r>
      <w:r w:rsidRPr="00A714D2">
        <w:rPr>
          <w:rFonts w:ascii="Times New Roman" w:hAnsi="Times New Roman" w:cs="Times New Roman"/>
          <w:noProof/>
          <w:sz w:val="20"/>
          <w:szCs w:val="28"/>
        </w:rPr>
        <w:t xml:space="preserve"> (pp. 45–69). Palgrave Macmillan. https://doi.org/https://doi.org/10.1057/9781137391865_3</w:t>
      </w:r>
    </w:p>
    <w:p w14:paraId="5D73E5E1"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Kinanti, D. N., &amp; Erza, E. K. (2020). Analisis Kebutuhan Informasi Generasi Z Dalam Akses Informasi Di Media. </w:t>
      </w:r>
      <w:r w:rsidRPr="00A714D2">
        <w:rPr>
          <w:rFonts w:ascii="Times New Roman" w:hAnsi="Times New Roman" w:cs="Times New Roman"/>
          <w:i/>
          <w:iCs/>
          <w:noProof/>
          <w:sz w:val="20"/>
          <w:szCs w:val="28"/>
        </w:rPr>
        <w:t>Shaut Al-Maktabah : Jurnal Perpustakaan, Arsip Dan Dokumentasi</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12</w:t>
      </w:r>
      <w:r w:rsidRPr="00A714D2">
        <w:rPr>
          <w:rFonts w:ascii="Times New Roman" w:hAnsi="Times New Roman" w:cs="Times New Roman"/>
          <w:noProof/>
          <w:sz w:val="20"/>
          <w:szCs w:val="28"/>
        </w:rPr>
        <w:t>(1), 72–84. https://doi.org/10.37108/shaut.v12i1.303</w:t>
      </w:r>
    </w:p>
    <w:p w14:paraId="4246E15F"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Köse, S., &amp; Murat, M. (2021). Examination of the relationship between smartphone addiction and cyberchondria in adolescents. </w:t>
      </w:r>
      <w:r w:rsidRPr="00A714D2">
        <w:rPr>
          <w:rFonts w:ascii="Times New Roman" w:hAnsi="Times New Roman" w:cs="Times New Roman"/>
          <w:i/>
          <w:iCs/>
          <w:noProof/>
          <w:sz w:val="20"/>
          <w:szCs w:val="28"/>
        </w:rPr>
        <w:t>Archives of Psychiatric Nursing</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35</w:t>
      </w:r>
      <w:r w:rsidRPr="00A714D2">
        <w:rPr>
          <w:rFonts w:ascii="Times New Roman" w:hAnsi="Times New Roman" w:cs="Times New Roman"/>
          <w:noProof/>
          <w:sz w:val="20"/>
          <w:szCs w:val="28"/>
        </w:rPr>
        <w:t>(6), 563–570. https://doi.org/10.1016/j.apnu.2021.08.009</w:t>
      </w:r>
    </w:p>
    <w:p w14:paraId="3440E449"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Kristina, S. A., Ekasari, M. P., &amp; Wati, M. R. (2019). Internet use for searching information on Health and Medicine: An Exploratory study among Indonesian customers. </w:t>
      </w:r>
      <w:r w:rsidRPr="00A714D2">
        <w:rPr>
          <w:rFonts w:ascii="Times New Roman" w:hAnsi="Times New Roman" w:cs="Times New Roman"/>
          <w:i/>
          <w:iCs/>
          <w:noProof/>
          <w:sz w:val="20"/>
          <w:szCs w:val="28"/>
        </w:rPr>
        <w:t>Research J. Pharm. and Tech.</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12</w:t>
      </w:r>
      <w:r w:rsidRPr="00A714D2">
        <w:rPr>
          <w:rFonts w:ascii="Times New Roman" w:hAnsi="Times New Roman" w:cs="Times New Roman"/>
          <w:noProof/>
          <w:sz w:val="20"/>
          <w:szCs w:val="28"/>
        </w:rPr>
        <w:t>(12). https://doi.org/https://doi.org/10.5958/0974-360X.2019.01028.X</w:t>
      </w:r>
    </w:p>
    <w:p w14:paraId="38829824"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Liem, J., &amp; Noratama Putri, R. (2023). Aplikasi Cegah Stunting Dengan Metode Design Thinking Berbasis Android. </w:t>
      </w:r>
      <w:r w:rsidRPr="00A714D2">
        <w:rPr>
          <w:rFonts w:ascii="Times New Roman" w:hAnsi="Times New Roman" w:cs="Times New Roman"/>
          <w:i/>
          <w:iCs/>
          <w:noProof/>
          <w:sz w:val="20"/>
          <w:szCs w:val="28"/>
        </w:rPr>
        <w:t>Jurnal SANTI - Sistem Informasi Dan Teknik Informasi</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3</w:t>
      </w:r>
      <w:r w:rsidRPr="00A714D2">
        <w:rPr>
          <w:rFonts w:ascii="Times New Roman" w:hAnsi="Times New Roman" w:cs="Times New Roman"/>
          <w:noProof/>
          <w:sz w:val="20"/>
          <w:szCs w:val="28"/>
        </w:rPr>
        <w:t>(2), 92–105. https://doi.org/https://doi.org/10.58794/santi.v3i2.549</w:t>
      </w:r>
    </w:p>
    <w:p w14:paraId="05136BD5"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Panggabean, A. D. (2024). </w:t>
      </w:r>
      <w:r w:rsidRPr="00A714D2">
        <w:rPr>
          <w:rFonts w:ascii="Times New Roman" w:hAnsi="Times New Roman" w:cs="Times New Roman"/>
          <w:i/>
          <w:iCs/>
          <w:noProof/>
          <w:sz w:val="20"/>
          <w:szCs w:val="28"/>
        </w:rPr>
        <w:t>Ini Data Statistik Penggunaan Media Sosial Masyarakat Indonesia Tahun 2024</w:t>
      </w:r>
      <w:r w:rsidRPr="00A714D2">
        <w:rPr>
          <w:rFonts w:ascii="Times New Roman" w:hAnsi="Times New Roman" w:cs="Times New Roman"/>
          <w:noProof/>
          <w:sz w:val="20"/>
          <w:szCs w:val="28"/>
        </w:rPr>
        <w:t>. Rri.Co.Id. https://www.rri.co.id/iptek/721570/ini-data-statistik-penggunaan-media-sosial-masyarakat-indonesia-tahun-2024</w:t>
      </w:r>
    </w:p>
    <w:p w14:paraId="551C7A2F"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Ratri, S. D. (2024). Digital Echoes: The Influence of Internet and Social Media on the “Ideal” Conception of Motherhood in Indonesian Stunting Programs. </w:t>
      </w:r>
      <w:r w:rsidRPr="00A714D2">
        <w:rPr>
          <w:rFonts w:ascii="Times New Roman" w:hAnsi="Times New Roman" w:cs="Times New Roman"/>
          <w:i/>
          <w:iCs/>
          <w:noProof/>
          <w:sz w:val="20"/>
          <w:szCs w:val="28"/>
        </w:rPr>
        <w:t>Masyarakat: Jurnal Sosiologi</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29</w:t>
      </w:r>
      <w:r w:rsidRPr="00A714D2">
        <w:rPr>
          <w:rFonts w:ascii="Times New Roman" w:hAnsi="Times New Roman" w:cs="Times New Roman"/>
          <w:noProof/>
          <w:sz w:val="20"/>
          <w:szCs w:val="28"/>
        </w:rPr>
        <w:t>(1). https://doi.org/https://doi.org/10.7454/MJS.v29i1.13569</w:t>
      </w:r>
    </w:p>
    <w:p w14:paraId="40883291"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Riska, N., &amp; Mahir, I. (2023). The Effectiveness Of Mobile Learning In Preventing Stunting In The Community. </w:t>
      </w:r>
      <w:r w:rsidRPr="00A714D2">
        <w:rPr>
          <w:rFonts w:ascii="Times New Roman" w:hAnsi="Times New Roman" w:cs="Times New Roman"/>
          <w:i/>
          <w:iCs/>
          <w:noProof/>
          <w:sz w:val="20"/>
          <w:szCs w:val="28"/>
        </w:rPr>
        <w:t>Journal of Namibian Studies</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34</w:t>
      </w:r>
      <w:r w:rsidRPr="00A714D2">
        <w:rPr>
          <w:rFonts w:ascii="Times New Roman" w:hAnsi="Times New Roman" w:cs="Times New Roman"/>
          <w:noProof/>
          <w:sz w:val="20"/>
          <w:szCs w:val="28"/>
        </w:rPr>
        <w:t>, 3434–3459. https://doi.org/https://doi.org/10.59670/jns.v34i.1821</w:t>
      </w:r>
    </w:p>
    <w:p w14:paraId="4408C82E"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Rohman, J. N., &amp; Husna, J. (2017). Situs Youtube Sebagai Media Pemenuhan Kebutuhan Informasi: Sebuah Survei Terhadap Mahasiswa Program Studi Ilmu Perpustakaan Universitas Diponegoro Angkatan 2013-2015. </w:t>
      </w:r>
      <w:r w:rsidRPr="00A714D2">
        <w:rPr>
          <w:rFonts w:ascii="Times New Roman" w:hAnsi="Times New Roman" w:cs="Times New Roman"/>
          <w:i/>
          <w:iCs/>
          <w:noProof/>
          <w:sz w:val="20"/>
          <w:szCs w:val="28"/>
        </w:rPr>
        <w:t>Jurnal Ilmu Perpustakaan</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6</w:t>
      </w:r>
      <w:r w:rsidRPr="00A714D2">
        <w:rPr>
          <w:rFonts w:ascii="Times New Roman" w:hAnsi="Times New Roman" w:cs="Times New Roman"/>
          <w:noProof/>
          <w:sz w:val="20"/>
          <w:szCs w:val="28"/>
        </w:rPr>
        <w:t>(1), 171–180. https://ejournal3.undip.ac.id/index.php/jip/article/view/23037</w:t>
      </w:r>
    </w:p>
    <w:p w14:paraId="1FF46EF2"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Santosa, K. C. T., &amp; Princen. (2023). Pengaruh Health Anxiety Terhadap Peningkatan Cyberchondria dengan Moderasi Neuroticism pada Dewasa Muda. </w:t>
      </w:r>
      <w:r w:rsidRPr="00A714D2">
        <w:rPr>
          <w:rFonts w:ascii="Times New Roman" w:hAnsi="Times New Roman" w:cs="Times New Roman"/>
          <w:i/>
          <w:iCs/>
          <w:noProof/>
          <w:sz w:val="20"/>
          <w:szCs w:val="28"/>
        </w:rPr>
        <w:t>Jurnal Psikologi</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16</w:t>
      </w:r>
      <w:r w:rsidRPr="00A714D2">
        <w:rPr>
          <w:rFonts w:ascii="Times New Roman" w:hAnsi="Times New Roman" w:cs="Times New Roman"/>
          <w:noProof/>
          <w:sz w:val="20"/>
          <w:szCs w:val="28"/>
        </w:rPr>
        <w:t>(2), 272–291. https://doi.org/http://dx.doi.org/10.35760/psi.2023.v16i2.7920</w:t>
      </w:r>
    </w:p>
    <w:p w14:paraId="7F50F268"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Scheffler, C., Hermanussen, M., Bogin, B., Liana, D. S., Taolin, F., Cempaka, P. M. V. P., Irawan, M., Ibbibah, L. F., Mappapa, N. K., Payong, M. K. E., Homalessy, A. V., Takalapeta, A., Apriyanti, S., Manoeroe, M. G., Dupe, F. R., Ratri, R. R. K., Touw, S. Y., K, P. V., Murtani, B. J., … Pulungan, A. (2020). Stunting is not a synonym of malnutrition. </w:t>
      </w:r>
      <w:r w:rsidRPr="00A714D2">
        <w:rPr>
          <w:rFonts w:ascii="Times New Roman" w:hAnsi="Times New Roman" w:cs="Times New Roman"/>
          <w:i/>
          <w:iCs/>
          <w:noProof/>
          <w:sz w:val="20"/>
          <w:szCs w:val="28"/>
        </w:rPr>
        <w:t>European Journal of Clinical Nutrition</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74</w:t>
      </w:r>
      <w:r w:rsidRPr="00A714D2">
        <w:rPr>
          <w:rFonts w:ascii="Times New Roman" w:hAnsi="Times New Roman" w:cs="Times New Roman"/>
          <w:noProof/>
          <w:sz w:val="20"/>
          <w:szCs w:val="28"/>
        </w:rPr>
        <w:t>(3), 377–386. https://doi.org/https://doi.org/10.1038/s41430-019-0439-4</w:t>
      </w:r>
    </w:p>
    <w:p w14:paraId="5F707E55"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Setyowati, K., Prakoso, S. G., Utomo, I. H., Parwiyanto, H., Suryawati, R., Nugroho, R. A., Susiloadi, P., &amp; Santoso, S. A. (2022). Digital Literacy and The Prevention of Stunting from Suburban Perspective: Case in Sepat Village, Sragen. </w:t>
      </w:r>
      <w:r w:rsidRPr="00A714D2">
        <w:rPr>
          <w:rFonts w:ascii="Times New Roman" w:hAnsi="Times New Roman" w:cs="Times New Roman"/>
          <w:i/>
          <w:iCs/>
          <w:noProof/>
          <w:sz w:val="20"/>
          <w:szCs w:val="28"/>
        </w:rPr>
        <w:t>Proceedings of the 7th International Conference on Social and Political Sciences (ICoSaPS 2022)</w:t>
      </w:r>
      <w:r w:rsidRPr="00A714D2">
        <w:rPr>
          <w:rFonts w:ascii="Times New Roman" w:hAnsi="Times New Roman" w:cs="Times New Roman"/>
          <w:noProof/>
          <w:sz w:val="20"/>
          <w:szCs w:val="28"/>
        </w:rPr>
        <w:t>, 45–50. https://doi.org/10.2991/978-2-494069-77-0_8</w:t>
      </w:r>
    </w:p>
    <w:p w14:paraId="79AB7B23"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Spradley, J. P. (2006). </w:t>
      </w:r>
      <w:r w:rsidRPr="00A714D2">
        <w:rPr>
          <w:rFonts w:ascii="Times New Roman" w:hAnsi="Times New Roman" w:cs="Times New Roman"/>
          <w:i/>
          <w:iCs/>
          <w:noProof/>
          <w:sz w:val="20"/>
          <w:szCs w:val="28"/>
        </w:rPr>
        <w:t>Metode Etnografi</w:t>
      </w:r>
      <w:r w:rsidRPr="00A714D2">
        <w:rPr>
          <w:rFonts w:ascii="Times New Roman" w:hAnsi="Times New Roman" w:cs="Times New Roman"/>
          <w:noProof/>
          <w:sz w:val="20"/>
          <w:szCs w:val="28"/>
        </w:rPr>
        <w:t xml:space="preserve"> (Kedua). Tiara Wacana.</w:t>
      </w:r>
    </w:p>
    <w:p w14:paraId="429FDC02"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Sudiati, L. E., Aditama, W., &amp; Puryono, D. A. (2023). IoT-based Stunting Education and Early Detection System for Stunting-Free Indonesia. </w:t>
      </w:r>
      <w:r w:rsidRPr="00A714D2">
        <w:rPr>
          <w:rFonts w:ascii="Times New Roman" w:hAnsi="Times New Roman" w:cs="Times New Roman"/>
          <w:i/>
          <w:iCs/>
          <w:noProof/>
          <w:sz w:val="20"/>
          <w:szCs w:val="28"/>
        </w:rPr>
        <w:t>East Asian Journal of Multidisciplinary Research</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2</w:t>
      </w:r>
      <w:r w:rsidRPr="00A714D2">
        <w:rPr>
          <w:rFonts w:ascii="Times New Roman" w:hAnsi="Times New Roman" w:cs="Times New Roman"/>
          <w:noProof/>
          <w:sz w:val="20"/>
          <w:szCs w:val="28"/>
        </w:rPr>
        <w:t>(12), 4855–4866. https://doi.org/https://doi.org/10.55927/eajmr.v2i12.6767</w:t>
      </w:r>
    </w:p>
    <w:p w14:paraId="09C820F5"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Sugiyono. (2010). </w:t>
      </w:r>
      <w:r w:rsidRPr="00A714D2">
        <w:rPr>
          <w:rFonts w:ascii="Times New Roman" w:hAnsi="Times New Roman" w:cs="Times New Roman"/>
          <w:i/>
          <w:iCs/>
          <w:noProof/>
          <w:sz w:val="20"/>
          <w:szCs w:val="28"/>
        </w:rPr>
        <w:t>Metode Penelitian Kuantitatif Kualitatif dan R &amp; D</w:t>
      </w:r>
      <w:r w:rsidRPr="00A714D2">
        <w:rPr>
          <w:rFonts w:ascii="Times New Roman" w:hAnsi="Times New Roman" w:cs="Times New Roman"/>
          <w:noProof/>
          <w:sz w:val="20"/>
          <w:szCs w:val="28"/>
        </w:rPr>
        <w:t>. Alfabeta.</w:t>
      </w:r>
    </w:p>
    <w:p w14:paraId="5DA4FD84"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Svestkova, A., Kvardova, N., &amp; Smahel, D. (2024). Health Anxiety in Adolescents: The Roles of Online Health Information Seeking and Parental Health Anxiety. </w:t>
      </w:r>
      <w:r w:rsidRPr="00A714D2">
        <w:rPr>
          <w:rFonts w:ascii="Times New Roman" w:hAnsi="Times New Roman" w:cs="Times New Roman"/>
          <w:i/>
          <w:iCs/>
          <w:noProof/>
          <w:sz w:val="20"/>
          <w:szCs w:val="28"/>
        </w:rPr>
        <w:t>Journal of Child and Family Studies</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33</w:t>
      </w:r>
      <w:r w:rsidRPr="00A714D2">
        <w:rPr>
          <w:rFonts w:ascii="Times New Roman" w:hAnsi="Times New Roman" w:cs="Times New Roman"/>
          <w:noProof/>
          <w:sz w:val="20"/>
          <w:szCs w:val="28"/>
        </w:rPr>
        <w:t>(4), 1083–1094. https://doi.org/10.1007/s10826-023-02689-8</w:t>
      </w:r>
    </w:p>
    <w:p w14:paraId="1D9E98BB"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Syafei, A. (2023). Literasi Kesehatan Digital, Faktor yang Mempengaruhi, dan Hubungannya dengan Perilaku Kesehatan: Scoping Review. </w:t>
      </w:r>
      <w:r w:rsidRPr="00A714D2">
        <w:rPr>
          <w:rFonts w:ascii="Times New Roman" w:hAnsi="Times New Roman" w:cs="Times New Roman"/>
          <w:i/>
          <w:iCs/>
          <w:noProof/>
          <w:sz w:val="20"/>
          <w:szCs w:val="28"/>
        </w:rPr>
        <w:t>Jurnal Ilmu Kesehatan Masyarakat</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6</w:t>
      </w:r>
      <w:r w:rsidRPr="00A714D2">
        <w:rPr>
          <w:rFonts w:ascii="Times New Roman" w:hAnsi="Times New Roman" w:cs="Times New Roman"/>
          <w:noProof/>
          <w:sz w:val="20"/>
          <w:szCs w:val="28"/>
        </w:rPr>
        <w:t>(50), 545–553. https://doi.org/https://doi.org/10.33221/jikm.v12i06.3232</w:t>
      </w:r>
    </w:p>
    <w:p w14:paraId="6856075C"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Thorgaard, M. V., Frostholm, L., Walker, L. S., Stengaard-Pedersen, K., Karlsson, M. M., Jensen, J. S., Fink, P., &amp; Rask, C. U. (2017). Effects of maternal health anxiety on children’s health complaints, emotional symptoms, and quality of life. </w:t>
      </w:r>
      <w:r w:rsidRPr="00A714D2">
        <w:rPr>
          <w:rFonts w:ascii="Times New Roman" w:hAnsi="Times New Roman" w:cs="Times New Roman"/>
          <w:i/>
          <w:iCs/>
          <w:noProof/>
          <w:sz w:val="20"/>
          <w:szCs w:val="28"/>
        </w:rPr>
        <w:t>European Child and Adolescent Psychiatry</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26</w:t>
      </w:r>
      <w:r w:rsidRPr="00A714D2">
        <w:rPr>
          <w:rFonts w:ascii="Times New Roman" w:hAnsi="Times New Roman" w:cs="Times New Roman"/>
          <w:noProof/>
          <w:sz w:val="20"/>
          <w:szCs w:val="28"/>
        </w:rPr>
        <w:t>(5), 591–601. https://doi.org/10.1007/s00787-016-0927-1</w:t>
      </w:r>
    </w:p>
    <w:p w14:paraId="476554EC"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Tongkonoo, I., Solang, M., &amp; Baderan, D. W. K. (2021). the Relationship of Social, Economic, and Enviromental Factors With Stunting Occurrence in Toddlers. </w:t>
      </w:r>
      <w:r w:rsidRPr="00A714D2">
        <w:rPr>
          <w:rFonts w:ascii="Times New Roman" w:hAnsi="Times New Roman" w:cs="Times New Roman"/>
          <w:i/>
          <w:iCs/>
          <w:noProof/>
          <w:sz w:val="20"/>
          <w:szCs w:val="28"/>
        </w:rPr>
        <w:t>Jambura Journal of Health Sciences and Research</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3</w:t>
      </w:r>
      <w:r w:rsidRPr="00A714D2">
        <w:rPr>
          <w:rFonts w:ascii="Times New Roman" w:hAnsi="Times New Roman" w:cs="Times New Roman"/>
          <w:noProof/>
          <w:sz w:val="20"/>
          <w:szCs w:val="28"/>
        </w:rPr>
        <w:t>(2), 256–276. https://doi.org/10.35971/jjhsr.v3i2.10736</w:t>
      </w:r>
    </w:p>
    <w:p w14:paraId="1577CF48"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8"/>
        </w:rPr>
      </w:pPr>
      <w:r w:rsidRPr="00A714D2">
        <w:rPr>
          <w:rFonts w:ascii="Times New Roman" w:hAnsi="Times New Roman" w:cs="Times New Roman"/>
          <w:noProof/>
          <w:sz w:val="20"/>
          <w:szCs w:val="28"/>
        </w:rPr>
        <w:t xml:space="preserve">Zheng, H., &amp; Tandoc, E. C. (2022). Calling Dr. Internet: Analyzing News Coverage of Cyberchondria. </w:t>
      </w:r>
      <w:r w:rsidRPr="00A714D2">
        <w:rPr>
          <w:rFonts w:ascii="Times New Roman" w:hAnsi="Times New Roman" w:cs="Times New Roman"/>
          <w:i/>
          <w:iCs/>
          <w:noProof/>
          <w:sz w:val="20"/>
          <w:szCs w:val="28"/>
        </w:rPr>
        <w:t>Journalism Practice</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16</w:t>
      </w:r>
      <w:r w:rsidRPr="00A714D2">
        <w:rPr>
          <w:rFonts w:ascii="Times New Roman" w:hAnsi="Times New Roman" w:cs="Times New Roman"/>
          <w:noProof/>
          <w:sz w:val="20"/>
          <w:szCs w:val="28"/>
        </w:rPr>
        <w:t>(5), 1001–1017. https://doi.org/10.1080/17512786.2020.1824586</w:t>
      </w:r>
    </w:p>
    <w:p w14:paraId="3057C610" w14:textId="77777777" w:rsidR="00640082" w:rsidRPr="00A714D2" w:rsidRDefault="00640082" w:rsidP="00640082">
      <w:pPr>
        <w:widowControl w:val="0"/>
        <w:autoSpaceDE w:val="0"/>
        <w:autoSpaceDN w:val="0"/>
        <w:adjustRightInd w:val="0"/>
        <w:spacing w:line="240" w:lineRule="auto"/>
        <w:ind w:left="1134" w:hanging="480"/>
        <w:rPr>
          <w:rFonts w:ascii="Times New Roman" w:hAnsi="Times New Roman" w:cs="Times New Roman"/>
          <w:noProof/>
          <w:sz w:val="20"/>
          <w:szCs w:val="24"/>
        </w:rPr>
      </w:pPr>
      <w:r w:rsidRPr="00A714D2">
        <w:rPr>
          <w:rFonts w:ascii="Times New Roman" w:hAnsi="Times New Roman" w:cs="Times New Roman"/>
          <w:noProof/>
          <w:sz w:val="20"/>
          <w:szCs w:val="28"/>
        </w:rPr>
        <w:t xml:space="preserve">Zucco, R., Lavano, F., Anfosso, R., Bianco, A., Pileggi, C., &amp; Pavia, M. (2018). Internet and social media use for antibiotic-related information seeking: Findings from a survey among adult population in Italy. </w:t>
      </w:r>
      <w:r w:rsidRPr="00A714D2">
        <w:rPr>
          <w:rFonts w:ascii="Times New Roman" w:hAnsi="Times New Roman" w:cs="Times New Roman"/>
          <w:i/>
          <w:iCs/>
          <w:noProof/>
          <w:sz w:val="20"/>
          <w:szCs w:val="28"/>
        </w:rPr>
        <w:t>International Journal of Medical Informatics</w:t>
      </w:r>
      <w:r w:rsidRPr="00A714D2">
        <w:rPr>
          <w:rFonts w:ascii="Times New Roman" w:hAnsi="Times New Roman" w:cs="Times New Roman"/>
          <w:noProof/>
          <w:sz w:val="20"/>
          <w:szCs w:val="28"/>
        </w:rPr>
        <w:t xml:space="preserve">, </w:t>
      </w:r>
      <w:r w:rsidRPr="00A714D2">
        <w:rPr>
          <w:rFonts w:ascii="Times New Roman" w:hAnsi="Times New Roman" w:cs="Times New Roman"/>
          <w:i/>
          <w:iCs/>
          <w:noProof/>
          <w:sz w:val="20"/>
          <w:szCs w:val="28"/>
        </w:rPr>
        <w:t>111</w:t>
      </w:r>
      <w:r w:rsidRPr="00A714D2">
        <w:rPr>
          <w:rFonts w:ascii="Times New Roman" w:hAnsi="Times New Roman" w:cs="Times New Roman"/>
          <w:noProof/>
          <w:sz w:val="20"/>
          <w:szCs w:val="28"/>
        </w:rPr>
        <w:t>(August 2017), 131–139. https://doi.org/10.1016/j.ijmedinf.2017.12.005</w:t>
      </w:r>
    </w:p>
    <w:p w14:paraId="3256238A" w14:textId="77777777" w:rsidR="00640082" w:rsidRPr="00A714D2" w:rsidRDefault="00640082" w:rsidP="00640082">
      <w:pPr>
        <w:pStyle w:val="ListParagraph"/>
        <w:spacing w:line="240" w:lineRule="auto"/>
        <w:ind w:left="1134" w:hanging="567"/>
        <w:rPr>
          <w:rFonts w:ascii="Times New Roman" w:hAnsi="Times New Roman" w:cs="Times New Roman"/>
          <w:sz w:val="20"/>
          <w:szCs w:val="20"/>
          <w:lang w:val="en-US"/>
        </w:rPr>
      </w:pPr>
      <w:r w:rsidRPr="00A714D2">
        <w:rPr>
          <w:rFonts w:ascii="Times New Roman" w:hAnsi="Times New Roman" w:cs="Times New Roman"/>
          <w:sz w:val="20"/>
          <w:szCs w:val="20"/>
          <w:lang w:val="en-US"/>
        </w:rPr>
        <w:fldChar w:fldCharType="end"/>
      </w:r>
    </w:p>
    <w:p w14:paraId="3555015E" w14:textId="77777777" w:rsidR="00606CDC" w:rsidRDefault="00606CDC">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14:paraId="30CAF264" w14:textId="689EF61F" w:rsidR="00640082" w:rsidRPr="002A1B90" w:rsidRDefault="00640082" w:rsidP="008E37C0">
      <w:pPr>
        <w:pStyle w:val="Heading1"/>
        <w:rPr>
          <w:lang w:val="en-US"/>
        </w:rPr>
      </w:pPr>
      <w:bookmarkStart w:id="8" w:name="_Toc197537595"/>
      <w:r w:rsidRPr="002A1B90">
        <w:rPr>
          <w:lang w:val="en-US"/>
        </w:rPr>
        <w:t>Opportunities and Challenge for the Application of Artificial Intelligence (AI) in Public Policy in Indonesia</w:t>
      </w:r>
      <w:bookmarkEnd w:id="8"/>
    </w:p>
    <w:p w14:paraId="74C1BC1E" w14:textId="5791D79E" w:rsidR="00640082" w:rsidRPr="005565EB" w:rsidRDefault="00640082" w:rsidP="008E37C0">
      <w:pPr>
        <w:pStyle w:val="Heading2"/>
        <w:rPr>
          <w:vertAlign w:val="superscript"/>
        </w:rPr>
      </w:pPr>
      <w:bookmarkStart w:id="9" w:name="_Toc197537596"/>
      <w:r w:rsidRPr="008E37C0">
        <w:t>Anni Mujahida Kamal</w:t>
      </w:r>
      <w:r w:rsidR="005565EB">
        <w:rPr>
          <w:vertAlign w:val="superscript"/>
        </w:rPr>
        <w:t>1</w:t>
      </w:r>
      <w:r w:rsidRPr="008E37C0">
        <w:t>, Juanda Nawawi</w:t>
      </w:r>
      <w:r w:rsidR="005565EB">
        <w:rPr>
          <w:vertAlign w:val="superscript"/>
        </w:rPr>
        <w:t>2</w:t>
      </w:r>
      <w:r w:rsidRPr="008E37C0">
        <w:t>, Suhardiman Syamsu</w:t>
      </w:r>
      <w:r w:rsidR="005565EB">
        <w:rPr>
          <w:vertAlign w:val="superscript"/>
        </w:rPr>
        <w:t>3</w:t>
      </w:r>
      <w:bookmarkEnd w:id="9"/>
    </w:p>
    <w:p w14:paraId="475ACA47" w14:textId="77777777" w:rsidR="00640082" w:rsidRPr="00595533" w:rsidRDefault="00640082" w:rsidP="002A1B9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Department of Government Science, Faculty of Social and Political Science, Hasanuddin University, Makassar City, Indonesia </w:t>
      </w:r>
    </w:p>
    <w:p w14:paraId="010ED78B" w14:textId="77777777" w:rsidR="00640082" w:rsidRDefault="00640082" w:rsidP="002A1B90">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Email:andiannykamal@gmail.com</w:t>
      </w:r>
      <w:proofErr w:type="gramEnd"/>
    </w:p>
    <w:p w14:paraId="316FA97E" w14:textId="77777777" w:rsidR="00640082" w:rsidRDefault="00640082" w:rsidP="00726AE4">
      <w:pPr>
        <w:rPr>
          <w:lang w:val="en-US"/>
        </w:rPr>
      </w:pPr>
    </w:p>
    <w:p w14:paraId="23C610E1" w14:textId="77777777" w:rsidR="00640082" w:rsidRPr="00595533" w:rsidRDefault="00640082" w:rsidP="002A1B9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sidRPr="002A1B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Department of Government Science, Faculty of Social and Political Science, Hasanuddin University, Makassar City, Indonesia </w:t>
      </w:r>
    </w:p>
    <w:p w14:paraId="00825F5F" w14:textId="77777777" w:rsidR="00640082" w:rsidRDefault="00640082" w:rsidP="0035528D">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Email:Juandanawawi1808@gmail.com</w:t>
      </w:r>
      <w:proofErr w:type="gramEnd"/>
    </w:p>
    <w:p w14:paraId="24917041" w14:textId="77777777" w:rsidR="00640082" w:rsidRDefault="00640082" w:rsidP="0035528D">
      <w:pPr>
        <w:spacing w:after="0" w:line="240" w:lineRule="auto"/>
        <w:jc w:val="center"/>
        <w:rPr>
          <w:rFonts w:ascii="Times New Roman" w:hAnsi="Times New Roman" w:cs="Times New Roman"/>
          <w:sz w:val="24"/>
          <w:szCs w:val="24"/>
          <w:lang w:val="en-US"/>
        </w:rPr>
      </w:pPr>
    </w:p>
    <w:p w14:paraId="7A8C3A4D" w14:textId="77777777" w:rsidR="00640082" w:rsidRPr="00595533" w:rsidRDefault="00640082" w:rsidP="002A1B9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3</w:t>
      </w:r>
      <w:r w:rsidRPr="002A1B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Department of Government Science, Faculty of Social and Political Science, Hasanuddin University, Makassar City, Indonesia </w:t>
      </w:r>
    </w:p>
    <w:p w14:paraId="70A59102" w14:textId="77777777" w:rsidR="00640082" w:rsidRDefault="00640082" w:rsidP="002A1B90">
      <w:pPr>
        <w:spacing w:after="0" w:line="240" w:lineRule="auto"/>
        <w:jc w:val="cente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Email:suhardiman@unhas.ac.id</w:t>
      </w:r>
      <w:proofErr w:type="spellEnd"/>
      <w:proofErr w:type="gramEnd"/>
    </w:p>
    <w:p w14:paraId="1AB8EF71" w14:textId="77777777" w:rsidR="00640082" w:rsidRDefault="00640082" w:rsidP="002A1B90">
      <w:pPr>
        <w:spacing w:after="0" w:line="240" w:lineRule="auto"/>
        <w:jc w:val="center"/>
        <w:rPr>
          <w:rFonts w:ascii="Times New Roman" w:hAnsi="Times New Roman" w:cs="Times New Roman"/>
          <w:sz w:val="24"/>
          <w:szCs w:val="24"/>
          <w:lang w:val="en-US"/>
        </w:rPr>
      </w:pPr>
    </w:p>
    <w:p w14:paraId="43C68350" w14:textId="77777777" w:rsidR="00640082" w:rsidRDefault="00640082" w:rsidP="009A4688">
      <w:pPr>
        <w:jc w:val="center"/>
        <w:rPr>
          <w:rFonts w:ascii="Times New Roman" w:hAnsi="Times New Roman" w:cs="Times New Roman"/>
          <w:b/>
          <w:bCs/>
          <w:sz w:val="24"/>
          <w:szCs w:val="24"/>
          <w:lang w:val="en-US"/>
        </w:rPr>
      </w:pPr>
      <w:r>
        <w:rPr>
          <w:rFonts w:ascii="Times New Roman" w:hAnsi="Times New Roman" w:cs="Times New Roman"/>
          <w:sz w:val="24"/>
          <w:szCs w:val="24"/>
          <w:lang w:val="en-US"/>
        </w:rPr>
        <w:t xml:space="preserve">*andiannykamal@gmail.com </w:t>
      </w:r>
    </w:p>
    <w:p w14:paraId="31A875EC" w14:textId="77777777" w:rsidR="00640082" w:rsidRDefault="00640082" w:rsidP="009A468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26C09AC1" w14:textId="77777777" w:rsidR="00640082" w:rsidRDefault="00640082" w:rsidP="0017405A">
      <w:pPr>
        <w:spacing w:line="276" w:lineRule="auto"/>
        <w:rPr>
          <w:rFonts w:ascii="Times New Roman" w:hAnsi="Times New Roman" w:cs="Times New Roman"/>
          <w:sz w:val="18"/>
          <w:szCs w:val="18"/>
        </w:rPr>
      </w:pPr>
      <w:r w:rsidRPr="00651C45">
        <w:rPr>
          <w:rFonts w:ascii="Times New Roman" w:hAnsi="Times New Roman" w:cs="Times New Roman"/>
          <w:sz w:val="18"/>
          <w:szCs w:val="18"/>
        </w:rPr>
        <w:t>Artificial intelligence (AI) in public policy refers to the use of AI technology to improve decision-making processes and governance. AI analyzes data that can make it easier for the government to see the current problems of Indonesian society to find effective solutions, so that the resulting policies are more evidence-based and accurate to the needs of the community. With the ability to process and analyze information quickly and accurately, AI can automate tasks so that government employees can focus on more complex and strategic issues. The type of basic research used in this study is qualitative research that aims to describe and reveal descriptive data as an approach to generally understanding the problems of AI in public policy in Indonesia. To obtain relevant, accurate and accountable data, the author uses data collection techniques, namely by using literature review techniques from various relevant sources. The results of the analysis show that the application of artificial intelligence (AI) in public policy in Indonesia has various opportunities to increase efficiency and effectiveness in decision-making. AI has the potential to help the government analyze big data, recognize patterns of community behavior, and provide more responsive services. However, it is not without challenges, including lack of algorithm transparency, bias in data, privacy issues, and limited human resource skills.</w:t>
      </w:r>
    </w:p>
    <w:p w14:paraId="45FDA48C" w14:textId="77777777" w:rsidR="00640082" w:rsidRPr="00651C45" w:rsidRDefault="00640082" w:rsidP="00A11187">
      <w:pPr>
        <w:spacing w:line="240" w:lineRule="auto"/>
        <w:rPr>
          <w:rFonts w:ascii="Times New Roman" w:hAnsi="Times New Roman" w:cs="Times New Roman"/>
          <w:b/>
          <w:i/>
          <w:iCs/>
          <w:sz w:val="18"/>
          <w:szCs w:val="18"/>
        </w:rPr>
      </w:pPr>
      <w:r w:rsidRPr="00DD0997">
        <w:rPr>
          <w:rFonts w:ascii="Times New Roman" w:hAnsi="Times New Roman" w:cs="Times New Roman"/>
          <w:b/>
          <w:bCs/>
          <w:i/>
          <w:iCs/>
          <w:sz w:val="18"/>
          <w:szCs w:val="18"/>
        </w:rPr>
        <w:t>Keywords</w:t>
      </w:r>
      <w:r w:rsidRPr="00651C45">
        <w:rPr>
          <w:rFonts w:ascii="Times New Roman" w:hAnsi="Times New Roman" w:cs="Times New Roman"/>
          <w:b/>
          <w:bCs/>
          <w:i/>
          <w:iCs/>
          <w:sz w:val="18"/>
          <w:szCs w:val="18"/>
        </w:rPr>
        <w:t>:</w:t>
      </w:r>
      <w:r w:rsidRPr="00651C45">
        <w:rPr>
          <w:rFonts w:ascii="Times New Roman" w:hAnsi="Times New Roman" w:cs="Times New Roman"/>
          <w:b/>
          <w:sz w:val="18"/>
          <w:szCs w:val="18"/>
        </w:rPr>
        <w:t xml:space="preserve"> </w:t>
      </w:r>
      <w:r w:rsidRPr="00651C45">
        <w:rPr>
          <w:rFonts w:ascii="Times New Roman" w:hAnsi="Times New Roman" w:cs="Times New Roman"/>
          <w:b/>
          <w:i/>
          <w:sz w:val="18"/>
          <w:szCs w:val="18"/>
        </w:rPr>
        <w:t>Opportunities, challenges, artificial intelligence (AI), Public Policy, Indonesia</w:t>
      </w:r>
    </w:p>
    <w:p w14:paraId="2E9E5ECF" w14:textId="77777777" w:rsidR="00640082" w:rsidRDefault="00640082" w:rsidP="00A11187">
      <w:pPr>
        <w:spacing w:line="240" w:lineRule="auto"/>
        <w:rPr>
          <w:rFonts w:ascii="Times New Roman" w:hAnsi="Times New Roman" w:cs="Times New Roman"/>
          <w:i/>
          <w:iCs/>
          <w:sz w:val="18"/>
          <w:szCs w:val="18"/>
        </w:rPr>
      </w:pPr>
    </w:p>
    <w:p w14:paraId="0CA7FDC6" w14:textId="77777777" w:rsidR="00640082" w:rsidRPr="007B43A3" w:rsidRDefault="00640082" w:rsidP="00606CDC">
      <w:pPr>
        <w:pStyle w:val="ListParagraph"/>
        <w:numPr>
          <w:ilvl w:val="0"/>
          <w:numId w:val="16"/>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lang w:val="en-US"/>
        </w:rPr>
        <w:t>Introduction</w:t>
      </w:r>
      <w:r>
        <w:rPr>
          <w:rFonts w:ascii="Times New Roman" w:hAnsi="Times New Roman" w:cs="Times New Roman"/>
          <w:b/>
          <w:bCs/>
          <w:sz w:val="24"/>
          <w:szCs w:val="24"/>
          <w:lang w:val="en-US"/>
        </w:rPr>
        <w:t xml:space="preserve"> </w:t>
      </w:r>
    </w:p>
    <w:p w14:paraId="23BF4EDA" w14:textId="77777777" w:rsidR="00640082" w:rsidRPr="008D1BEF" w:rsidRDefault="00640082" w:rsidP="0017405A">
      <w:pPr>
        <w:pStyle w:val="ListParagraph"/>
        <w:spacing w:line="276" w:lineRule="auto"/>
        <w:ind w:firstLine="720"/>
        <w:rPr>
          <w:rFonts w:ascii="Times New Roman" w:hAnsi="Times New Roman" w:cs="Times New Roman"/>
          <w:bCs/>
          <w:sz w:val="20"/>
          <w:szCs w:val="20"/>
          <w:lang w:val="en-US"/>
        </w:rPr>
      </w:pPr>
      <w:r w:rsidRPr="008D1BEF">
        <w:rPr>
          <w:rFonts w:ascii="Times New Roman" w:hAnsi="Times New Roman" w:cs="Times New Roman"/>
          <w:bCs/>
          <w:sz w:val="20"/>
          <w:szCs w:val="20"/>
          <w:lang w:val="en-US"/>
        </w:rPr>
        <w:t>The state is obliged to support and ensure that the national development process can be implemented properly. Development is an activity carried out simultaneously, consistently, and continuously by various parties such as the government, private sector, and society with the aim of achieving shared prosperity both materially and spiritually. In this modern era, the transformation of public services is at a crucial point. This change is marked by technological advances, changes in the global environment, and the increasing need for digitalization in society. Technology in Indonesia has developed rapidly and become an important part of everyday life, affecting various sectors such as education, health, economy, and government. In this case, technology is not only limited to hardware and software, but also includes innovations in the way we interact and manage information. Internet usage has increased significantly, with the number of users reaching around 196.7 million in 2023, indicating high internet penetration in society. Technology provides various tools and solutions for the government that can increase transparency, efficiency, and effectiveness in overall governance to access services online. In this modern era, the integration of technology in government activities is not only limited to digitalization. The use of technology includes a comprehensive approach to the provision of public services, policy formulation, and interaction between the community and the government. The increasingly widespread development of digitalization shows the importance of improving the decision-making process. This is important to ensure that the policies and decisions that have been set are in accordance with the needs and aspirations of the community as a whole. The government must be able to provide excellent services because of the demands of the community who want fast, effective, and efficient services (</w:t>
      </w:r>
      <w:proofErr w:type="spellStart"/>
      <w:r w:rsidRPr="008D1BEF">
        <w:rPr>
          <w:rFonts w:ascii="Times New Roman" w:hAnsi="Times New Roman" w:cs="Times New Roman"/>
          <w:bCs/>
          <w:sz w:val="20"/>
          <w:szCs w:val="20"/>
          <w:lang w:val="en-US"/>
        </w:rPr>
        <w:t>Harahap</w:t>
      </w:r>
      <w:proofErr w:type="spellEnd"/>
      <w:r w:rsidRPr="008D1BEF">
        <w:rPr>
          <w:rFonts w:ascii="Times New Roman" w:hAnsi="Times New Roman" w:cs="Times New Roman"/>
          <w:bCs/>
          <w:sz w:val="20"/>
          <w:szCs w:val="20"/>
          <w:lang w:val="en-US"/>
        </w:rPr>
        <w:t>, 2023). In line with this, Presidential Regulation Number 95 of 2018 concerning the Electronic-Based Government System (SPBE) was issued. The use of artificial intelligence (AI) allows for increased ease of service, and through this policy it is hoped that digital integration can be realized in public services, especially in Indonesia (Atmaja, 2024). Several AI applications that have been implemented in public services in Indonesia include the use of metaverse technology for public service communication (Afifah et al., 2023) and the use of AI for the provision of data in digital public service communication (</w:t>
      </w:r>
      <w:proofErr w:type="spellStart"/>
      <w:r w:rsidRPr="008D1BEF">
        <w:rPr>
          <w:rFonts w:ascii="Times New Roman" w:hAnsi="Times New Roman" w:cs="Times New Roman"/>
          <w:bCs/>
          <w:sz w:val="20"/>
          <w:szCs w:val="20"/>
          <w:lang w:val="en-US"/>
        </w:rPr>
        <w:t>Johansah</w:t>
      </w:r>
      <w:proofErr w:type="spellEnd"/>
      <w:r w:rsidRPr="008D1BEF">
        <w:rPr>
          <w:rFonts w:ascii="Times New Roman" w:hAnsi="Times New Roman" w:cs="Times New Roman"/>
          <w:bCs/>
          <w:sz w:val="20"/>
          <w:szCs w:val="20"/>
          <w:lang w:val="en-US"/>
        </w:rPr>
        <w:t xml:space="preserve"> &amp; </w:t>
      </w:r>
      <w:proofErr w:type="spellStart"/>
      <w:r w:rsidRPr="008D1BEF">
        <w:rPr>
          <w:rFonts w:ascii="Times New Roman" w:hAnsi="Times New Roman" w:cs="Times New Roman"/>
          <w:bCs/>
          <w:sz w:val="20"/>
          <w:szCs w:val="20"/>
          <w:lang w:val="en-US"/>
        </w:rPr>
        <w:t>Efda</w:t>
      </w:r>
      <w:proofErr w:type="spellEnd"/>
      <w:r w:rsidRPr="008D1BEF">
        <w:rPr>
          <w:rFonts w:ascii="Times New Roman" w:hAnsi="Times New Roman" w:cs="Times New Roman"/>
          <w:bCs/>
          <w:sz w:val="20"/>
          <w:szCs w:val="20"/>
          <w:lang w:val="en-US"/>
        </w:rPr>
        <w:t>, 2023).</w:t>
      </w:r>
    </w:p>
    <w:p w14:paraId="7D40C454" w14:textId="77777777" w:rsidR="00640082" w:rsidRPr="008D1BEF" w:rsidRDefault="00640082" w:rsidP="0017405A">
      <w:pPr>
        <w:pStyle w:val="ListParagraph"/>
        <w:spacing w:line="276" w:lineRule="auto"/>
        <w:ind w:left="717"/>
        <w:rPr>
          <w:rFonts w:ascii="Times New Roman" w:hAnsi="Times New Roman" w:cs="Times New Roman"/>
          <w:bCs/>
          <w:sz w:val="20"/>
          <w:szCs w:val="20"/>
          <w:lang w:val="en-US"/>
        </w:rPr>
      </w:pPr>
      <w:r w:rsidRPr="008D1BEF">
        <w:rPr>
          <w:rFonts w:ascii="Times New Roman" w:hAnsi="Times New Roman" w:cs="Times New Roman"/>
          <w:bCs/>
          <w:sz w:val="20"/>
          <w:szCs w:val="20"/>
          <w:lang w:val="en-US"/>
        </w:rPr>
        <w:tab/>
      </w:r>
      <w:r w:rsidRPr="008D1BEF">
        <w:rPr>
          <w:rFonts w:ascii="Times New Roman" w:hAnsi="Times New Roman" w:cs="Times New Roman"/>
          <w:bCs/>
          <w:sz w:val="20"/>
          <w:szCs w:val="20"/>
          <w:lang w:val="en-US"/>
        </w:rPr>
        <w:tab/>
        <w:t>Artificial Intelligence (AI) is becoming an important element in public policymaking, offering both opportunities and challenges. The use of AI in the public sector can improve decision-making processes, enhance service delivery, and solve complex social problems. The integration of AI technology in public policy can be found in various contexts, including in governance and data analysis frameworks. The application of AI in public policymaking has the potential to change the way decisions are made, increase efficiency, and improve the overall quality of policy outcomes. AI technology can be applied at every stage of the policy cycle, providing a framework for understanding the complexity of the policy process and helping policymakers analyze and improve policy effectiveness. This emphasizes the importance of evidence-based decision-making, stakeholder engagement, and continuous evaluation and learning to ensure that the resulting policies are responsive, efficient, and achieve the expected results.</w:t>
      </w:r>
    </w:p>
    <w:p w14:paraId="38B8C121" w14:textId="77777777" w:rsidR="00640082" w:rsidRPr="008D1BEF" w:rsidRDefault="00640082" w:rsidP="0017405A">
      <w:pPr>
        <w:pStyle w:val="ListParagraph"/>
        <w:spacing w:line="276" w:lineRule="auto"/>
        <w:ind w:firstLine="720"/>
        <w:rPr>
          <w:rFonts w:ascii="Times New Roman" w:hAnsi="Times New Roman" w:cs="Times New Roman"/>
          <w:bCs/>
          <w:sz w:val="20"/>
          <w:szCs w:val="20"/>
          <w:lang w:val="en-US"/>
        </w:rPr>
      </w:pPr>
      <w:r w:rsidRPr="008D1BEF">
        <w:rPr>
          <w:rFonts w:ascii="Times New Roman" w:hAnsi="Times New Roman" w:cs="Times New Roman"/>
          <w:bCs/>
          <w:sz w:val="20"/>
          <w:szCs w:val="20"/>
          <w:lang w:val="en-US"/>
        </w:rPr>
        <w:t>In line with that, according to Brewer and De Leon (1983) explained that decision-making is the process of choosing between various policy alternatives that have been proposed, considering the consequences of each estimated choice. Each policy alternative has different implications, including economic, social, and environmental impacts that must be carefully evaluated. Then the Theory of Bounded Rationality explains that humans cannot always make optimal decisions due to limited cognitive abilities and available time. This shows that in complex decision-making situations, individuals tend to use heuristic strategies or simple rules of thumb to solve problems, instead of looking for the most optimal solution. As a result, the decisions taken may not fully consider all the information or implications of each policy alternative. Therefore, it is important to have the right tools to analyze all the factors involved in making the right and sustainable decisions. Data-driven decisions, modeling, and predictive analysis can be made by involving AI in the policy cycle approach. With the support of algorithms and machine learning, AI allows governments to conduct predictive analysis to predict potential future scenarios and make policy decisions proactively.</w:t>
      </w:r>
    </w:p>
    <w:p w14:paraId="22D5D725" w14:textId="77777777" w:rsidR="00640082" w:rsidRPr="008D1BEF" w:rsidRDefault="00640082" w:rsidP="0017405A">
      <w:pPr>
        <w:pStyle w:val="ListParagraph"/>
        <w:spacing w:line="276" w:lineRule="auto"/>
        <w:ind w:firstLine="720"/>
        <w:rPr>
          <w:rFonts w:ascii="Times New Roman" w:hAnsi="Times New Roman" w:cs="Times New Roman"/>
          <w:bCs/>
          <w:sz w:val="20"/>
          <w:szCs w:val="20"/>
          <w:lang w:val="en-US"/>
        </w:rPr>
      </w:pPr>
      <w:r w:rsidRPr="008D1BEF">
        <w:rPr>
          <w:rFonts w:ascii="Times New Roman" w:hAnsi="Times New Roman" w:cs="Times New Roman"/>
          <w:bCs/>
          <w:sz w:val="20"/>
          <w:szCs w:val="20"/>
          <w:lang w:val="en-US"/>
        </w:rPr>
        <w:t>However, the application of data-based decision making and predictive analysis in public policy also faces a number of challenges. These challenges include issues regarding data quality, privacy, ethics, and the need for skilled experts to analyze and interpret data. The government needs to ensure transparency, accountability, and fairness in the use of data and algorithms to maintain public trust.</w:t>
      </w:r>
    </w:p>
    <w:p w14:paraId="00AB7D36" w14:textId="77777777" w:rsidR="00640082" w:rsidRPr="008D1BEF" w:rsidRDefault="00640082" w:rsidP="0017405A">
      <w:pPr>
        <w:pStyle w:val="ListParagraph"/>
        <w:spacing w:line="276" w:lineRule="auto"/>
        <w:ind w:firstLine="720"/>
        <w:rPr>
          <w:rFonts w:ascii="Times New Roman" w:hAnsi="Times New Roman" w:cs="Times New Roman"/>
          <w:bCs/>
          <w:sz w:val="20"/>
          <w:szCs w:val="20"/>
          <w:lang w:val="en-US"/>
        </w:rPr>
      </w:pPr>
      <w:r w:rsidRPr="008D1BEF">
        <w:rPr>
          <w:rFonts w:ascii="Times New Roman" w:hAnsi="Times New Roman" w:cs="Times New Roman"/>
          <w:bCs/>
          <w:sz w:val="20"/>
          <w:szCs w:val="20"/>
          <w:lang w:val="en-US"/>
        </w:rPr>
        <w:t>Based on previous research entitled "Public Policy Dynamics and Artificial Intelligence Innovation in Indonesia" it states that the application of Artificial Intelligence (AI) in public policy in Indonesia faces various significant challenges, including limited adequate technological infrastructure, gaps in internet access between urban and rural areas, and lack of human resource capacity (HR) skilled in AI technology. In addition, issues of privacy and data security are also major concerns, given that the implementation of AI requires the collection of large amounts of data that are vulnerable to leakage. Considering this, the novelty of this study offers a new perspective by combining the analysis of opportunities and challenges of implementing AI in public policy in Indonesia. Therefore, the author's desire arose to analyze the problems of Artificial Intelligence contained in the title "Challenges and Opportunities for the Application of Artificial Intelligence in Public Policy in Indonesia".</w:t>
      </w:r>
    </w:p>
    <w:p w14:paraId="4DEF4121" w14:textId="77777777" w:rsidR="00640082" w:rsidRPr="008D1BEF" w:rsidRDefault="00640082" w:rsidP="0017405A">
      <w:pPr>
        <w:pStyle w:val="ListParagraph"/>
        <w:spacing w:line="276" w:lineRule="auto"/>
        <w:rPr>
          <w:rFonts w:ascii="Times New Roman" w:hAnsi="Times New Roman" w:cs="Times New Roman"/>
          <w:bCs/>
          <w:sz w:val="20"/>
          <w:szCs w:val="20"/>
          <w:lang w:val="en-US"/>
        </w:rPr>
      </w:pPr>
      <w:r w:rsidRPr="008D1BEF">
        <w:rPr>
          <w:rFonts w:ascii="Times New Roman" w:hAnsi="Times New Roman" w:cs="Times New Roman"/>
          <w:bCs/>
          <w:sz w:val="20"/>
          <w:szCs w:val="20"/>
          <w:lang w:val="en-US"/>
        </w:rPr>
        <w:t>Based on the background that has been described above, the formulation of the problem in this study is:</w:t>
      </w:r>
    </w:p>
    <w:p w14:paraId="6EA277E3" w14:textId="77777777" w:rsidR="00640082" w:rsidRPr="008D1BEF" w:rsidRDefault="00640082" w:rsidP="0017405A">
      <w:pPr>
        <w:pStyle w:val="ListParagraph"/>
        <w:spacing w:line="276" w:lineRule="auto"/>
        <w:rPr>
          <w:rFonts w:ascii="Times New Roman" w:hAnsi="Times New Roman" w:cs="Times New Roman"/>
          <w:bCs/>
          <w:sz w:val="20"/>
          <w:szCs w:val="20"/>
          <w:lang w:val="en-US"/>
        </w:rPr>
      </w:pPr>
      <w:r w:rsidRPr="008D1BEF">
        <w:rPr>
          <w:rFonts w:ascii="Times New Roman" w:hAnsi="Times New Roman" w:cs="Times New Roman"/>
          <w:bCs/>
          <w:sz w:val="20"/>
          <w:szCs w:val="20"/>
          <w:lang w:val="en-US"/>
        </w:rPr>
        <w:t xml:space="preserve">1. What are the opportunities offered by the application of Artificial Intelligence in public policy in Indonesia? </w:t>
      </w:r>
    </w:p>
    <w:p w14:paraId="0BEA4F91" w14:textId="00B16083" w:rsidR="00640082" w:rsidRPr="008D1BEF" w:rsidRDefault="00640082" w:rsidP="008D1BEF">
      <w:pPr>
        <w:pStyle w:val="ListParagraph"/>
        <w:spacing w:line="276" w:lineRule="auto"/>
        <w:rPr>
          <w:rFonts w:ascii="Times New Roman" w:hAnsi="Times New Roman" w:cs="Times New Roman"/>
          <w:bCs/>
          <w:sz w:val="20"/>
          <w:szCs w:val="20"/>
          <w:lang w:val="en-US"/>
        </w:rPr>
      </w:pPr>
      <w:r w:rsidRPr="008D1BEF">
        <w:rPr>
          <w:rFonts w:ascii="Times New Roman" w:hAnsi="Times New Roman" w:cs="Times New Roman"/>
          <w:bCs/>
          <w:sz w:val="20"/>
          <w:szCs w:val="20"/>
          <w:lang w:val="en-US"/>
        </w:rPr>
        <w:t>2. What are the main challenges faced in the application of Artificial Intelligence in public policy in Indonesia?</w:t>
      </w:r>
    </w:p>
    <w:p w14:paraId="36FB29C5" w14:textId="77777777" w:rsidR="00640082" w:rsidRPr="008D1BEF" w:rsidRDefault="00640082" w:rsidP="00606CDC">
      <w:pPr>
        <w:pStyle w:val="ListParagraph"/>
        <w:numPr>
          <w:ilvl w:val="0"/>
          <w:numId w:val="16"/>
        </w:numPr>
        <w:spacing w:line="240" w:lineRule="auto"/>
        <w:rPr>
          <w:rFonts w:ascii="Times New Roman" w:hAnsi="Times New Roman" w:cs="Times New Roman"/>
          <w:b/>
          <w:bCs/>
          <w:sz w:val="24"/>
          <w:szCs w:val="24"/>
          <w:lang w:val="en-US"/>
        </w:rPr>
      </w:pPr>
      <w:r w:rsidRPr="008D1BEF">
        <w:rPr>
          <w:rFonts w:ascii="Times New Roman" w:hAnsi="Times New Roman" w:cs="Times New Roman"/>
          <w:b/>
          <w:bCs/>
          <w:sz w:val="24"/>
          <w:szCs w:val="24"/>
          <w:lang w:val="en-US"/>
        </w:rPr>
        <w:t xml:space="preserve">Methods </w:t>
      </w:r>
    </w:p>
    <w:p w14:paraId="5C7E37F7" w14:textId="77777777" w:rsidR="00640082" w:rsidRPr="008D1BEF" w:rsidRDefault="00640082" w:rsidP="0017405A">
      <w:pPr>
        <w:pStyle w:val="ListParagraph"/>
        <w:spacing w:line="276" w:lineRule="auto"/>
        <w:ind w:firstLine="720"/>
        <w:rPr>
          <w:rFonts w:ascii="Times New Roman" w:hAnsi="Times New Roman" w:cs="Times New Roman"/>
          <w:b/>
          <w:bCs/>
          <w:sz w:val="20"/>
          <w:szCs w:val="20"/>
          <w:lang w:val="en-US"/>
        </w:rPr>
      </w:pPr>
      <w:r w:rsidRPr="008D1BEF">
        <w:rPr>
          <w:rFonts w:ascii="Times New Roman" w:hAnsi="Times New Roman" w:cs="Times New Roman"/>
          <w:sz w:val="20"/>
          <w:szCs w:val="20"/>
        </w:rPr>
        <w:t>In this study, a basic research type with a qualitative approach is used. The main focus of the study is to describe and reveal relevant descriptive data, as an initial effort to understand various problems related to the application of artificial intelligence (AI) in public policy in Indonesia. This study aims to provide a deep understanding of how AI has and will continue to influence various aspects of public policy, including but not limited to the creation, implementation, and evaluation of policies in Indonesia. With this approach, it is expected that various challenges, opportunities, and recommendations will be found that can be taken to optimize the use of AI in public policy in the future. The further explanation is as follows:</w:t>
      </w:r>
    </w:p>
    <w:p w14:paraId="7135F0EB" w14:textId="77777777" w:rsidR="00640082" w:rsidRPr="008D1BEF" w:rsidRDefault="00640082" w:rsidP="00640082">
      <w:pPr>
        <w:pStyle w:val="ListParagraph"/>
        <w:numPr>
          <w:ilvl w:val="0"/>
          <w:numId w:val="4"/>
        </w:numPr>
        <w:spacing w:line="276" w:lineRule="auto"/>
        <w:rPr>
          <w:rFonts w:ascii="Times New Roman" w:hAnsi="Times New Roman" w:cs="Times New Roman"/>
          <w:b/>
          <w:sz w:val="20"/>
          <w:szCs w:val="20"/>
        </w:rPr>
      </w:pPr>
      <w:r w:rsidRPr="008D1BEF">
        <w:rPr>
          <w:rFonts w:ascii="Times New Roman" w:hAnsi="Times New Roman" w:cs="Times New Roman"/>
          <w:b/>
          <w:sz w:val="20"/>
          <w:szCs w:val="20"/>
        </w:rPr>
        <w:t>Database Search:</w:t>
      </w:r>
    </w:p>
    <w:p w14:paraId="3D6860AE" w14:textId="77777777" w:rsidR="00640082" w:rsidRPr="008D1BEF" w:rsidRDefault="00640082" w:rsidP="0017405A">
      <w:pPr>
        <w:pStyle w:val="ListParagraph"/>
        <w:spacing w:line="276" w:lineRule="auto"/>
        <w:ind w:left="1077"/>
        <w:rPr>
          <w:rFonts w:ascii="Times New Roman" w:hAnsi="Times New Roman" w:cs="Times New Roman"/>
          <w:sz w:val="20"/>
          <w:szCs w:val="20"/>
        </w:rPr>
      </w:pPr>
      <w:r w:rsidRPr="008D1BEF">
        <w:rPr>
          <w:rFonts w:ascii="Times New Roman" w:hAnsi="Times New Roman" w:cs="Times New Roman"/>
          <w:sz w:val="20"/>
          <w:szCs w:val="20"/>
        </w:rPr>
        <w:t>Articles were collected through searches in various academic journal databases and trusted research repositories such as Google Scholar, JSTOR, ScienceDirect, and national journal portals. This search aims to find articles that are relevant to the topic being studied.</w:t>
      </w:r>
    </w:p>
    <w:p w14:paraId="6851D00C" w14:textId="77777777" w:rsidR="00640082" w:rsidRPr="008D1BEF" w:rsidRDefault="00640082" w:rsidP="0017405A">
      <w:pPr>
        <w:pStyle w:val="ListParagraph"/>
        <w:spacing w:line="276" w:lineRule="auto"/>
        <w:ind w:left="1077"/>
        <w:rPr>
          <w:rFonts w:ascii="Times New Roman" w:hAnsi="Times New Roman" w:cs="Times New Roman"/>
          <w:b/>
          <w:sz w:val="20"/>
          <w:szCs w:val="20"/>
        </w:rPr>
      </w:pPr>
    </w:p>
    <w:p w14:paraId="25A73839" w14:textId="77777777" w:rsidR="00640082" w:rsidRPr="008D1BEF" w:rsidRDefault="00640082" w:rsidP="00640082">
      <w:pPr>
        <w:pStyle w:val="ListParagraph"/>
        <w:numPr>
          <w:ilvl w:val="0"/>
          <w:numId w:val="4"/>
        </w:numPr>
        <w:spacing w:line="276" w:lineRule="auto"/>
        <w:rPr>
          <w:rFonts w:ascii="Times New Roman" w:hAnsi="Times New Roman" w:cs="Times New Roman"/>
          <w:b/>
          <w:sz w:val="20"/>
          <w:szCs w:val="20"/>
        </w:rPr>
      </w:pPr>
      <w:r w:rsidRPr="008D1BEF">
        <w:rPr>
          <w:rFonts w:ascii="Times New Roman" w:hAnsi="Times New Roman" w:cs="Times New Roman"/>
          <w:b/>
          <w:sz w:val="20"/>
          <w:szCs w:val="20"/>
        </w:rPr>
        <w:t>Keywords:</w:t>
      </w:r>
    </w:p>
    <w:p w14:paraId="1B24B0B6" w14:textId="77777777" w:rsidR="00640082" w:rsidRPr="008D1BEF" w:rsidRDefault="00640082" w:rsidP="0017405A">
      <w:pPr>
        <w:pStyle w:val="ListParagraph"/>
        <w:spacing w:line="276" w:lineRule="auto"/>
        <w:ind w:left="1077"/>
        <w:rPr>
          <w:rFonts w:ascii="Times New Roman" w:hAnsi="Times New Roman" w:cs="Times New Roman"/>
          <w:sz w:val="20"/>
          <w:szCs w:val="20"/>
        </w:rPr>
      </w:pPr>
      <w:r w:rsidRPr="008D1BEF">
        <w:rPr>
          <w:rFonts w:ascii="Times New Roman" w:hAnsi="Times New Roman" w:cs="Times New Roman"/>
          <w:sz w:val="20"/>
          <w:szCs w:val="20"/>
        </w:rPr>
        <w:t>In the search process, specific keywords were used such as "Challenges and Opportunities of Artificial Intelligence", "AI in Public Policy", "AI Innovation in Indonesia", and "Data-Based Decision Making". These keywords are designed to narrow the search results to be more relevant to the focus of the research.</w:t>
      </w:r>
    </w:p>
    <w:p w14:paraId="699BECF6"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c. Selection Criteria:</w:t>
      </w:r>
    </w:p>
    <w:p w14:paraId="1DDE9813"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-Relevance to the topic of implementing AI in public policy.</w:t>
      </w:r>
    </w:p>
    <w:p w14:paraId="7F7CCA4B"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-Contains an analysis of the opportunities and challenges faced.</w:t>
      </w:r>
    </w:p>
    <w:p w14:paraId="7169A4B1"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-Published in an accredited or reputable journal.</w:t>
      </w:r>
    </w:p>
    <w:p w14:paraId="7CE00778"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d. Article Period</w:t>
      </w:r>
    </w:p>
    <w:p w14:paraId="398B7976" w14:textId="77777777" w:rsidR="00640082" w:rsidRPr="008D1BEF" w:rsidRDefault="00640082" w:rsidP="0017405A">
      <w:pPr>
        <w:pStyle w:val="ListParagraph"/>
        <w:spacing w:line="276" w:lineRule="auto"/>
        <w:ind w:left="1035"/>
        <w:rPr>
          <w:rFonts w:ascii="Times New Roman" w:hAnsi="Times New Roman" w:cs="Times New Roman"/>
          <w:sz w:val="20"/>
          <w:szCs w:val="20"/>
        </w:rPr>
      </w:pPr>
      <w:r w:rsidRPr="008D1BEF">
        <w:rPr>
          <w:rFonts w:ascii="Times New Roman" w:hAnsi="Times New Roman" w:cs="Times New Roman"/>
          <w:sz w:val="20"/>
          <w:szCs w:val="20"/>
        </w:rPr>
        <w:t>The articles collected cover the period from 2019 to 2024. This time span was chosen to ensure that the information obtained is up-to-date and reflects the latest developments in the application of AI in public policy.</w:t>
      </w:r>
    </w:p>
    <w:p w14:paraId="36BF68E1"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e. Article Type</w:t>
      </w:r>
    </w:p>
    <w:p w14:paraId="68273E60"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-Research article: Article containing empirical research results or case studies related to the application of AI in public policy.</w:t>
      </w:r>
    </w:p>
    <w:p w14:paraId="4490E362"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-Review article; Article reviewing literature related to the application of AI in public policy, providing an overview of trends, challenges, and opportunities.</w:t>
      </w:r>
    </w:p>
    <w:p w14:paraId="056FFFC5"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f. Article Language</w:t>
      </w:r>
    </w:p>
    <w:p w14:paraId="34B3E1E3" w14:textId="77777777" w:rsidR="00640082" w:rsidRPr="008D1BEF" w:rsidRDefault="00640082" w:rsidP="0017405A">
      <w:pPr>
        <w:pStyle w:val="ListParagraph"/>
        <w:spacing w:line="276" w:lineRule="auto"/>
        <w:ind w:left="990"/>
        <w:rPr>
          <w:rFonts w:ascii="Times New Roman" w:hAnsi="Times New Roman" w:cs="Times New Roman"/>
          <w:b/>
          <w:sz w:val="20"/>
          <w:szCs w:val="20"/>
        </w:rPr>
      </w:pPr>
      <w:r w:rsidRPr="008D1BEF">
        <w:rPr>
          <w:rFonts w:ascii="Times New Roman" w:hAnsi="Times New Roman" w:cs="Times New Roman"/>
          <w:sz w:val="20"/>
          <w:szCs w:val="20"/>
        </w:rPr>
        <w:t>Articles are collected in two languages, namely Indonesian and English. This is done to get a broader perspective from various international and local sources.</w:t>
      </w:r>
    </w:p>
    <w:p w14:paraId="73ED9994"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g. Journal Name</w:t>
      </w:r>
    </w:p>
    <w:p w14:paraId="7D29B3FB"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1. Interdisciplinary Journal of Social and Political Sciences</w:t>
      </w:r>
    </w:p>
    <w:p w14:paraId="43EA8FB5"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2. Public Policy Journal</w:t>
      </w:r>
    </w:p>
    <w:p w14:paraId="1897DF69"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3. AMIKOM Surakarta National Seminar (SEMNASA)</w:t>
      </w:r>
    </w:p>
    <w:p w14:paraId="15626BA8"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4. Management and Business Journal</w:t>
      </w:r>
    </w:p>
    <w:p w14:paraId="7BC8BB75" w14:textId="77777777" w:rsidR="00640082" w:rsidRPr="008D1BEF" w:rsidRDefault="00640082" w:rsidP="0017405A">
      <w:pPr>
        <w:pStyle w:val="ListParagraph"/>
        <w:spacing w:line="276" w:lineRule="auto"/>
        <w:ind w:left="990"/>
        <w:rPr>
          <w:rFonts w:ascii="Times New Roman" w:hAnsi="Times New Roman" w:cs="Times New Roman"/>
          <w:sz w:val="20"/>
          <w:szCs w:val="20"/>
        </w:rPr>
      </w:pPr>
      <w:r w:rsidRPr="008D1BEF">
        <w:rPr>
          <w:rFonts w:ascii="Times New Roman" w:hAnsi="Times New Roman" w:cs="Times New Roman"/>
          <w:sz w:val="20"/>
          <w:szCs w:val="20"/>
        </w:rPr>
        <w:t>5. Journal of Internet and Software Engineering</w:t>
      </w:r>
    </w:p>
    <w:p w14:paraId="5ECC76E1" w14:textId="77777777" w:rsidR="00640082" w:rsidRPr="008D1BEF" w:rsidRDefault="00640082" w:rsidP="0017405A">
      <w:pPr>
        <w:pStyle w:val="ListParagraph"/>
        <w:spacing w:line="276" w:lineRule="auto"/>
        <w:ind w:left="717"/>
        <w:rPr>
          <w:rFonts w:ascii="Times New Roman" w:hAnsi="Times New Roman" w:cs="Times New Roman"/>
          <w:b/>
          <w:sz w:val="20"/>
          <w:szCs w:val="20"/>
        </w:rPr>
      </w:pPr>
      <w:r w:rsidRPr="008D1BEF">
        <w:rPr>
          <w:rFonts w:ascii="Times New Roman" w:hAnsi="Times New Roman" w:cs="Times New Roman"/>
          <w:b/>
          <w:sz w:val="20"/>
          <w:szCs w:val="20"/>
        </w:rPr>
        <w:t>h. Number of Articles</w:t>
      </w:r>
    </w:p>
    <w:p w14:paraId="64F98DD9" w14:textId="77777777" w:rsidR="00640082" w:rsidRPr="008D1BEF" w:rsidRDefault="00640082" w:rsidP="0017405A">
      <w:pPr>
        <w:pStyle w:val="ListParagraph"/>
        <w:spacing w:line="276" w:lineRule="auto"/>
        <w:ind w:left="948"/>
        <w:rPr>
          <w:rFonts w:ascii="Times New Roman" w:hAnsi="Times New Roman" w:cs="Times New Roman"/>
          <w:bCs/>
          <w:sz w:val="20"/>
          <w:szCs w:val="20"/>
          <w:lang w:val="en-US"/>
        </w:rPr>
      </w:pPr>
      <w:r w:rsidRPr="008D1BEF">
        <w:rPr>
          <w:rFonts w:ascii="Times New Roman" w:hAnsi="Times New Roman" w:cs="Times New Roman"/>
          <w:sz w:val="20"/>
          <w:szCs w:val="20"/>
        </w:rPr>
        <w:t>There are around 5 to 10 articles relevant to the title "Challenges and Opportunities of Artificial Intelligence in Public Policy" from trusted journals in the specified period. This number includes articles that have been identified through the search method above.</w:t>
      </w:r>
      <w:r w:rsidRPr="008D1BEF">
        <w:rPr>
          <w:rFonts w:ascii="Times New Roman" w:hAnsi="Times New Roman" w:cs="Times New Roman"/>
          <w:bCs/>
          <w:sz w:val="20"/>
          <w:szCs w:val="20"/>
          <w:lang w:val="en-US"/>
        </w:rPr>
        <w:t xml:space="preserve">Result and Discussion </w:t>
      </w:r>
    </w:p>
    <w:p w14:paraId="54C39E30" w14:textId="77777777" w:rsidR="00640082" w:rsidRPr="008D1BEF" w:rsidRDefault="00640082" w:rsidP="005D7558">
      <w:pPr>
        <w:pStyle w:val="ListParagraph"/>
        <w:ind w:left="948"/>
        <w:rPr>
          <w:rFonts w:ascii="Times New Roman" w:hAnsi="Times New Roman" w:cs="Times New Roman"/>
          <w:bCs/>
          <w:sz w:val="20"/>
          <w:szCs w:val="20"/>
          <w:lang w:val="en-US"/>
        </w:rPr>
      </w:pPr>
    </w:p>
    <w:p w14:paraId="6F9887E7" w14:textId="77777777" w:rsidR="00640082" w:rsidRPr="008D1BEF" w:rsidRDefault="00640082" w:rsidP="00606CDC">
      <w:pPr>
        <w:pStyle w:val="ListParagraph"/>
        <w:numPr>
          <w:ilvl w:val="0"/>
          <w:numId w:val="16"/>
        </w:numPr>
        <w:rPr>
          <w:rFonts w:ascii="Times New Roman" w:hAnsi="Times New Roman" w:cs="Times New Roman"/>
          <w:b/>
          <w:sz w:val="24"/>
          <w:szCs w:val="24"/>
          <w:lang w:val="en-US"/>
        </w:rPr>
      </w:pPr>
      <w:r w:rsidRPr="008D1BEF">
        <w:rPr>
          <w:rFonts w:ascii="Times New Roman" w:hAnsi="Times New Roman" w:cs="Times New Roman"/>
          <w:b/>
          <w:sz w:val="24"/>
          <w:szCs w:val="24"/>
          <w:lang w:val="en-US"/>
        </w:rPr>
        <w:t>Results and Discussion</w:t>
      </w:r>
    </w:p>
    <w:p w14:paraId="49A29B68" w14:textId="77777777" w:rsidR="00640082" w:rsidRPr="008D1BEF" w:rsidRDefault="00640082" w:rsidP="00640082">
      <w:pPr>
        <w:pStyle w:val="ListParagraph"/>
        <w:numPr>
          <w:ilvl w:val="0"/>
          <w:numId w:val="3"/>
        </w:numPr>
        <w:spacing w:line="240"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Opportunities for applying AI in public policy in Indonesia</w:t>
      </w:r>
    </w:p>
    <w:p w14:paraId="7E30D399"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Artificial intelligence (AI) has great potential to transform public policy in Indonesia, offering a variety of opportunities to improve the effectiveness and efficiency of decision-making. One of the main arguments is the ability of AI to perform in-depth data analysis, allowing the government to identify relevant patterns and trends from various sources of information. According to the article "Utilization of Artificial Intelligence in the Public Policy Cycle" AI can analyze big data from social media and administrative records to provide valuable insights for policymakers, so they can make more informed and evidence-based decisions. This concept of data-driven decision-making is central to public governance theory, which emphasizes the use of accurate information to formulate policies that are responsive to the needs of the community.</w:t>
      </w:r>
    </w:p>
    <w:p w14:paraId="32328739"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Furthermore, automation of processes driven by AI also has the potential to improve the quality of public services. By utilizing technologies such as chatbots and virtual assistants, the government can provide information services quickly and responsively. In this context, the article "Utilization of Artificial Intelligence Towards Innovative and Accountable Governance" notes that AI allows for faster document processing and acceleration of public services. The theory of innovation in government supports this idea by emphasizing the importance of adopting new technologies to improve the efficiency of public administration.</w:t>
      </w:r>
    </w:p>
    <w:p w14:paraId="577A6C40"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AI can also serve as a tool to simplify bureaucratic processes, thereby increasing the accessibility of services for the public. For example, AI-based applications can facilitate online registration for education and business permits, making the process more interactive and responsive. The article "Utilization of Artificial Intelligence in the Public Policy Cycle" emphasizes that the use of AI can reduce the cost and time required to obtain services. In this context, public service theory highlights the importance of increasing public satisfaction through better service provision.</w:t>
      </w:r>
    </w:p>
    <w:p w14:paraId="0E97A53A"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Furthermore, AI has the potential to support sustainable development programs by managing natural resources more efficiently. With its ability to monitor environmental quality and predict the weather, AI can help the government take proactive steps in achieving sustainable development goals. Quoting the article "Secretary General of Communication and Information: The Use of AI Must Be in Accordance with Ethical Values ​​in Indonesia," the use of AI must be accompanied by regulations that pay attention to ethical values ​​so that it is not misused. In this case, sustainability theory emphasizes the importance of integrating social and environmental values ​​in every policy taken.</w:t>
      </w:r>
    </w:p>
    <w:p w14:paraId="6AAA4A9B"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Overall, the application of artificial intelligence in public policy in Indonesia not only offers opportunities to improve government efficiency and responsiveness, but also presents challenges related to ethics and transparency. Therefore, it is important for governments to develop a framework that ensures that AI is used responsibly and in accordance with societal values. The article "The Use of Artificial Intelligence in the Public Policy Cycle" emphasizes that a data-driven approach must be balanced with ethical considerations so that this technology can be used optimally to improve policy outcomes. Good governance theory emphasizes that accountability and transparency are key to building public trust in the use of new technologies in government.</w:t>
      </w:r>
    </w:p>
    <w:p w14:paraId="21FD006A" w14:textId="77777777" w:rsidR="00640082" w:rsidRPr="008D1BEF" w:rsidRDefault="00640082" w:rsidP="005D7558">
      <w:pPr>
        <w:pStyle w:val="ListParagraph"/>
        <w:spacing w:line="276" w:lineRule="auto"/>
        <w:ind w:left="1077" w:firstLine="363"/>
        <w:rPr>
          <w:rFonts w:ascii="Times New Roman" w:hAnsi="Times New Roman" w:cs="Times New Roman"/>
          <w:bCs/>
          <w:sz w:val="20"/>
          <w:szCs w:val="20"/>
          <w:lang w:val="en-US"/>
        </w:rPr>
      </w:pPr>
    </w:p>
    <w:p w14:paraId="0205AFC3" w14:textId="77777777" w:rsidR="00640082" w:rsidRPr="008D1BEF" w:rsidRDefault="00640082" w:rsidP="00640082">
      <w:pPr>
        <w:pStyle w:val="ListParagraph"/>
        <w:numPr>
          <w:ilvl w:val="0"/>
          <w:numId w:val="3"/>
        </w:numPr>
        <w:spacing w:line="240"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Challenges of applying artificial intelligence (AI) in public policy in Indonesia</w:t>
      </w:r>
    </w:p>
    <w:p w14:paraId="2F3489BB" w14:textId="77777777" w:rsidR="00640082" w:rsidRPr="008D1BEF" w:rsidRDefault="00640082" w:rsidP="000C7B6D">
      <w:pPr>
        <w:pStyle w:val="ListParagraph"/>
        <w:spacing w:line="276" w:lineRule="auto"/>
        <w:ind w:left="1077" w:firstLine="363"/>
        <w:rPr>
          <w:rFonts w:ascii="Times New Roman" w:hAnsi="Times New Roman" w:cs="Times New Roman"/>
          <w:bCs/>
          <w:sz w:val="20"/>
          <w:szCs w:val="20"/>
          <w:lang w:val="en-US"/>
        </w:rPr>
      </w:pPr>
      <w:r w:rsidRPr="008D1BEF">
        <w:rPr>
          <w:rFonts w:ascii="Times New Roman" w:hAnsi="Times New Roman" w:cs="Times New Roman"/>
          <w:bCs/>
          <w:sz w:val="20"/>
          <w:szCs w:val="20"/>
          <w:lang w:val="en-US"/>
        </w:rPr>
        <w:t>Although there are many opportunities for AI in public policy making, the application of artificial intelligence (AI) in public policy decision-making in Indonesia also presents many challenges. There are 09 (Nine) main challenges that need to be given more attention, namely:</w:t>
      </w:r>
    </w:p>
    <w:p w14:paraId="0D94A621"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Algorithm Transparency</w:t>
      </w:r>
    </w:p>
    <w:p w14:paraId="1AB5E647" w14:textId="77777777" w:rsidR="00640082" w:rsidRPr="008D1BEF" w:rsidRDefault="00640082" w:rsidP="0017405A">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The main challenge in the application of AI is algorithm transparency. Many algorithms function as "black boxes", making it difficult for the public to understand the decision-making process carried out by the AI ​​system. This ambiguity can reduce public trust in the policies implemented. According to the article entitled "Utilization of Artificial Intelligence in the Public Policy Cycle", it is important for the government to create a system that supports transparency so that the public can understand how algorithms work and increase their trust in the use of AI in decision-making. This concept of transparency is in line with the theory of public accountability, where stakeholders must be able to be held accountable for the decisions taken.</w:t>
      </w:r>
    </w:p>
    <w:p w14:paraId="4F5004AA"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Tendency of Bias in Data</w:t>
      </w:r>
    </w:p>
    <w:p w14:paraId="4BCFC38D"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The quality of the data used to train the algorithm greatly affects the results obtained. If the data is not representative or biased, the resulting decisions can be detrimental to certain groups. The article emphasizes that to reduce the potential for bias, it is important for the government to ensure that the data used includes various perspectives and represents all levels of society. This is related to the theory of distributive justice, which emphasizes the need for fair distribution of resources and benefits in society.</w:t>
      </w:r>
    </w:p>
    <w:p w14:paraId="7C8DD13C"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Privacy and Data Security</w:t>
      </w:r>
    </w:p>
    <w:p w14:paraId="67A0E2E8"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The application of AI often involves the collection of personal data, raising concerns about privacy and information security. The government has a responsibility to protect citizens' personal data from misuse. In the article "Utilization of Artificial Intelligence Towards Innovative and Accountable Governance", it is explained that data protection measures must be implemented through strict regulations and good security systems. This is related to the theory of human rights, where every individual has the right to privacy and protection of personal data.</w:t>
      </w:r>
    </w:p>
    <w:p w14:paraId="222DBEB7"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Workforce Skills</w:t>
      </w:r>
    </w:p>
    <w:p w14:paraId="4FFA438D"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The lack of knowledge about AI among government employees is a barrier to its implementation. The article states that it is important to develop capacity through training so that employees can utilize this technology effectively. This is in line with the theory of human resource development, which emphasizes the importance of investing in the skills and knowledge of the workforce to increase productivity.</w:t>
      </w:r>
    </w:p>
    <w:p w14:paraId="4EFE6697"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Lack of Policy and Regulation</w:t>
      </w:r>
    </w:p>
    <w:p w14:paraId="10B29E0D"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Ambiguity in policies regarding the use of AI can raise serious legal and ethical issues. The article “Utilizing Artificial Intelligence in the Public Policy Cycle” states that the government needs to set strong standards regarding transparency and accountability in the use of this technology. This relates to the theory of regulation, where having a clear legal framework can help prevent abuse of power.</w:t>
      </w:r>
    </w:p>
    <w:p w14:paraId="2F66217B"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Legal Uncertainty</w:t>
      </w:r>
    </w:p>
    <w:p w14:paraId="7C1F2D78"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Uncertainty regarding legal liability for AI-based decisions is an important issue. The article suggests that the government needs to establish a clear legal framework so that people feel safer using this technology. This is related to the theory of social responsibility, where all parties must understand their role in using technology ethically.</w:t>
      </w:r>
    </w:p>
    <w:p w14:paraId="532040DD"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Public Participation</w:t>
      </w:r>
    </w:p>
    <w:p w14:paraId="2D2D578A" w14:textId="7AD5F097" w:rsidR="00640082" w:rsidRPr="008D1BEF" w:rsidRDefault="00640082" w:rsidP="008D1BEF">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Public involvement is crucial in AI-based policy making. The article “Utilizing Artificial Intelligence in the Public Policy Cycle” emphasizes that active citizen participation can increase the legitimacy of decisions taken. This is in line with the theory of democratic participation, which states that public involvement in the decision-making process is key to creating policies that are responsive to public needs.</w:t>
      </w:r>
    </w:p>
    <w:p w14:paraId="3F84254C"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Technological Infrastructure</w:t>
      </w:r>
    </w:p>
    <w:p w14:paraId="4B97981F"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Technological infrastructure is a key factor in the implementation of AI. The article notes that there are still infrastructure gaps in several regions of Indonesia, thus hampering the widespread adoption of AI. This is related to the theory of economic development, where good infrastructure is needed to support economic growth and innovation.</w:t>
      </w:r>
    </w:p>
    <w:p w14:paraId="11B3A9FE" w14:textId="77777777" w:rsidR="00640082" w:rsidRPr="008D1BEF" w:rsidRDefault="00640082" w:rsidP="00640082">
      <w:pPr>
        <w:pStyle w:val="ListParagraph"/>
        <w:numPr>
          <w:ilvl w:val="0"/>
          <w:numId w:val="5"/>
        </w:numPr>
        <w:spacing w:line="276" w:lineRule="auto"/>
        <w:rPr>
          <w:rFonts w:ascii="Times New Roman" w:hAnsi="Times New Roman" w:cs="Times New Roman"/>
          <w:b/>
          <w:bCs/>
          <w:sz w:val="20"/>
          <w:szCs w:val="20"/>
          <w:lang w:val="en-US"/>
        </w:rPr>
      </w:pPr>
      <w:r w:rsidRPr="008D1BEF">
        <w:rPr>
          <w:rFonts w:ascii="Times New Roman" w:hAnsi="Times New Roman" w:cs="Times New Roman"/>
          <w:b/>
          <w:bCs/>
          <w:sz w:val="20"/>
          <w:szCs w:val="20"/>
          <w:lang w:val="en-US"/>
        </w:rPr>
        <w:t>Organizational Culture</w:t>
      </w:r>
    </w:p>
    <w:p w14:paraId="348D28C0" w14:textId="77777777" w:rsidR="00640082" w:rsidRPr="008D1BEF" w:rsidRDefault="00640082" w:rsidP="000C7B6D">
      <w:pPr>
        <w:pStyle w:val="ListParagraph"/>
        <w:spacing w:line="276" w:lineRule="auto"/>
        <w:ind w:left="1437"/>
        <w:rPr>
          <w:rFonts w:ascii="Times New Roman" w:hAnsi="Times New Roman" w:cs="Times New Roman"/>
          <w:bCs/>
          <w:sz w:val="20"/>
          <w:szCs w:val="20"/>
          <w:lang w:val="en-US"/>
        </w:rPr>
      </w:pPr>
      <w:r w:rsidRPr="008D1BEF">
        <w:rPr>
          <w:rFonts w:ascii="Times New Roman" w:hAnsi="Times New Roman" w:cs="Times New Roman"/>
          <w:bCs/>
          <w:sz w:val="20"/>
          <w:szCs w:val="20"/>
          <w:lang w:val="en-US"/>
        </w:rPr>
        <w:t>Organizational cultural transformation is needed for the implementation of AI to run smoothly. Based on one of the articles analyzed by the author entitled "Utilization of Artificial Intelligence Towards Innovative and Accountable Governance" it states that government organizations must adapt to new data-based methods. This is in line with the theory of organizational change, which emphasizes the importance of an innovative culture in dealing with technological change.</w:t>
      </w:r>
    </w:p>
    <w:p w14:paraId="26611F6C" w14:textId="77777777" w:rsidR="00640082" w:rsidRDefault="00640082" w:rsidP="000C7B6D">
      <w:pPr>
        <w:pStyle w:val="ListParagraph"/>
        <w:spacing w:line="276" w:lineRule="auto"/>
        <w:ind w:left="1077" w:firstLine="360"/>
        <w:rPr>
          <w:rFonts w:ascii="Times New Roman" w:hAnsi="Times New Roman" w:cs="Times New Roman"/>
          <w:bCs/>
          <w:sz w:val="20"/>
          <w:szCs w:val="20"/>
          <w:lang w:val="en-US"/>
        </w:rPr>
      </w:pPr>
      <w:r w:rsidRPr="008D1BEF">
        <w:rPr>
          <w:rFonts w:ascii="Times New Roman" w:hAnsi="Times New Roman" w:cs="Times New Roman"/>
          <w:bCs/>
          <w:sz w:val="20"/>
          <w:szCs w:val="20"/>
          <w:lang w:val="en-US"/>
        </w:rPr>
        <w:t>By analyzing these opportunities and challenges through various theoretical perspectives, the Indonesian government can formulate effective strategies to utilize artificial intelligence in public policy to improve the efficiency, transparency, and accountability of public services.</w:t>
      </w:r>
    </w:p>
    <w:p w14:paraId="3629B186" w14:textId="77777777" w:rsidR="008D1BEF" w:rsidRPr="008D1BEF" w:rsidRDefault="008D1BEF" w:rsidP="000C7B6D">
      <w:pPr>
        <w:pStyle w:val="ListParagraph"/>
        <w:spacing w:line="276" w:lineRule="auto"/>
        <w:ind w:left="1077" w:firstLine="360"/>
        <w:rPr>
          <w:rFonts w:ascii="Times New Roman" w:hAnsi="Times New Roman" w:cs="Times New Roman"/>
          <w:bCs/>
          <w:sz w:val="20"/>
          <w:szCs w:val="20"/>
          <w:lang w:val="en-US"/>
        </w:rPr>
      </w:pPr>
    </w:p>
    <w:p w14:paraId="76FF4B9F" w14:textId="77777777" w:rsidR="00640082" w:rsidRPr="008D1BEF" w:rsidRDefault="00640082" w:rsidP="00A82FDE">
      <w:pPr>
        <w:pStyle w:val="ListParagraph"/>
        <w:spacing w:line="240" w:lineRule="auto"/>
        <w:ind w:left="1077" w:firstLine="363"/>
        <w:rPr>
          <w:rFonts w:ascii="Times New Roman" w:hAnsi="Times New Roman" w:cs="Times New Roman"/>
          <w:bCs/>
          <w:sz w:val="20"/>
          <w:szCs w:val="20"/>
          <w:lang w:val="en-US"/>
        </w:rPr>
      </w:pPr>
    </w:p>
    <w:p w14:paraId="3B05075A" w14:textId="77777777" w:rsidR="00640082" w:rsidRPr="008D1BEF" w:rsidRDefault="00640082" w:rsidP="00606CDC">
      <w:pPr>
        <w:pStyle w:val="ListParagraph"/>
        <w:numPr>
          <w:ilvl w:val="0"/>
          <w:numId w:val="16"/>
        </w:numPr>
        <w:spacing w:line="240" w:lineRule="auto"/>
        <w:rPr>
          <w:rFonts w:ascii="Times New Roman" w:hAnsi="Times New Roman" w:cs="Times New Roman"/>
          <w:b/>
          <w:bCs/>
          <w:sz w:val="24"/>
          <w:szCs w:val="24"/>
          <w:lang w:val="en-US"/>
        </w:rPr>
      </w:pPr>
      <w:r w:rsidRPr="008D1BEF">
        <w:rPr>
          <w:rFonts w:ascii="Times New Roman" w:hAnsi="Times New Roman" w:cs="Times New Roman"/>
          <w:b/>
          <w:bCs/>
          <w:sz w:val="24"/>
          <w:szCs w:val="24"/>
          <w:lang w:val="en-US"/>
        </w:rPr>
        <w:t xml:space="preserve">Conclusions </w:t>
      </w:r>
    </w:p>
    <w:p w14:paraId="145F009D" w14:textId="152E966C" w:rsidR="00640082" w:rsidRPr="008D1BEF" w:rsidRDefault="00640082" w:rsidP="00606CDC">
      <w:pPr>
        <w:pStyle w:val="ListParagraph"/>
        <w:spacing w:line="276" w:lineRule="auto"/>
        <w:ind w:firstLine="3"/>
        <w:rPr>
          <w:rFonts w:ascii="Times New Roman" w:hAnsi="Times New Roman" w:cs="Times New Roman"/>
          <w:bCs/>
          <w:sz w:val="20"/>
          <w:szCs w:val="20"/>
          <w:lang w:val="en-US"/>
        </w:rPr>
      </w:pPr>
      <w:r w:rsidRPr="008D1BEF">
        <w:rPr>
          <w:rFonts w:ascii="Times New Roman" w:hAnsi="Times New Roman" w:cs="Times New Roman"/>
          <w:bCs/>
          <w:sz w:val="20"/>
          <w:szCs w:val="20"/>
          <w:lang w:val="en-US"/>
        </w:rPr>
        <w:t>Based on the description that has been explained, it can be concluded that the opportunity for AI is to increase the efficiency and responsiveness of the government in providing services to the public, where AI can help data-based decision making, improve the quality of public services through automation, and greatly support sustainable development programs. However, this is not without challenges, namely limited human resource skills, algorithm transparency, data bias, privacy and information security, and the lack of clear regulations to optimally utilize AI. The analysis of the application of artificial intelligence (AI) in public policy in Indonesia shows several important points: limitations of the study include a limited focus on public policy and data that may be biased. Theoretical implications support the theory of public governance and innovation in government, but highlight the challenges of transparency and algorithm bias. Practical implications include guidance for the government in formulating AI policies, such as regulations on privacy and data security and human resource training. Recommendations for further study include specific case analysis, public participation, social impact, and international comparisons to maximize the potential of AI in Indonesian public policy.</w:t>
      </w:r>
    </w:p>
    <w:p w14:paraId="7CFD5CE9" w14:textId="392DDD54" w:rsidR="00640082" w:rsidRPr="00380B1B" w:rsidRDefault="00640082" w:rsidP="00380B1B">
      <w:pPr>
        <w:pStyle w:val="NormalWeb"/>
        <w:spacing w:before="0" w:beforeAutospacing="0" w:after="0" w:afterAutospacing="0" w:line="276" w:lineRule="auto"/>
        <w:ind w:firstLine="357"/>
        <w:jc w:val="both"/>
        <w:rPr>
          <w:b/>
          <w:bCs/>
          <w:color w:val="000000"/>
        </w:rPr>
      </w:pPr>
      <w:r w:rsidRPr="00380B1B">
        <w:rPr>
          <w:b/>
          <w:bCs/>
          <w:color w:val="000000"/>
        </w:rPr>
        <w:t xml:space="preserve">Reference </w:t>
      </w:r>
    </w:p>
    <w:p w14:paraId="1EE2429E"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Agustini, P. (2023). Secretary General of the Ministry of Communication and Information: The use of AI must be in accordance with ethical values ​​in Indonesia. Digital Economy, Governance.</w:t>
      </w:r>
    </w:p>
    <w:p w14:paraId="6922777F"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 xml:space="preserve">Chairunisah, N., &amp; Santoso, G. (2023). Character of Wisdom in Facing Challenges and Opportunities of the 21st Century in the Digital Era. </w:t>
      </w:r>
      <w:r w:rsidRPr="00CB5E65">
        <w:rPr>
          <w:rFonts w:ascii="Times New Roman" w:hAnsi="Times New Roman" w:cs="Times New Roman"/>
          <w:bCs/>
          <w:i/>
          <w:iCs/>
          <w:color w:val="000000"/>
          <w:sz w:val="20"/>
          <w:szCs w:val="20"/>
        </w:rPr>
        <w:t>Journal of Transformative Education</w:t>
      </w:r>
      <w:r w:rsidRPr="00606CDC">
        <w:rPr>
          <w:rFonts w:ascii="Times New Roman" w:hAnsi="Times New Roman" w:cs="Times New Roman"/>
          <w:bCs/>
          <w:color w:val="000000"/>
          <w:sz w:val="20"/>
          <w:szCs w:val="20"/>
        </w:rPr>
        <w:t>, 2(5), 452-475.</w:t>
      </w:r>
    </w:p>
    <w:p w14:paraId="6A4F23A4"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 xml:space="preserve">Fajar, J. (2024). Utilization of artificial intelligence towards innovative and accountable governance. </w:t>
      </w:r>
      <w:r w:rsidRPr="00CB5E65">
        <w:rPr>
          <w:rFonts w:ascii="Times New Roman" w:hAnsi="Times New Roman" w:cs="Times New Roman"/>
          <w:bCs/>
          <w:i/>
          <w:iCs/>
          <w:color w:val="000000"/>
          <w:sz w:val="20"/>
          <w:szCs w:val="20"/>
        </w:rPr>
        <w:t>Journal of Regional Innovation</w:t>
      </w:r>
      <w:r w:rsidRPr="00606CDC">
        <w:rPr>
          <w:rFonts w:ascii="Times New Roman" w:hAnsi="Times New Roman" w:cs="Times New Roman"/>
          <w:bCs/>
          <w:color w:val="000000"/>
          <w:sz w:val="20"/>
          <w:szCs w:val="20"/>
        </w:rPr>
        <w:t>.</w:t>
      </w:r>
    </w:p>
    <w:p w14:paraId="791748FB"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Lubis, MSY (2021, August). Implementation of Artificial Intelligence in Integrated Manufacturing Systems. In Proceedings of the UISU National Engineering Seminar (SEMNASTEK) (Vol. 4, No. 1, pp. 1-7).</w:t>
      </w:r>
    </w:p>
    <w:p w14:paraId="0D57AF6F"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Martino. (2023). Utilization of artificial intelligence in the public policy cycle: Between opportunities and challenges</w:t>
      </w:r>
      <w:r w:rsidRPr="00CB5E65">
        <w:rPr>
          <w:rFonts w:ascii="Times New Roman" w:hAnsi="Times New Roman" w:cs="Times New Roman"/>
          <w:bCs/>
          <w:i/>
          <w:iCs/>
          <w:color w:val="000000"/>
          <w:sz w:val="20"/>
          <w:szCs w:val="20"/>
        </w:rPr>
        <w:t>. Journal of Public Policy</w:t>
      </w:r>
      <w:r w:rsidRPr="00606CDC">
        <w:rPr>
          <w:rFonts w:ascii="Times New Roman" w:hAnsi="Times New Roman" w:cs="Times New Roman"/>
          <w:bCs/>
          <w:color w:val="000000"/>
          <w:sz w:val="20"/>
          <w:szCs w:val="20"/>
        </w:rPr>
        <w:t>.</w:t>
      </w:r>
    </w:p>
    <w:p w14:paraId="77F1FEAD"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 xml:space="preserve">Ramdhani, A., &amp; Ramdhani, MA (2017). General concept of public policy implementation. </w:t>
      </w:r>
      <w:r w:rsidRPr="00CB5E65">
        <w:rPr>
          <w:rFonts w:ascii="Times New Roman" w:hAnsi="Times New Roman" w:cs="Times New Roman"/>
          <w:bCs/>
          <w:i/>
          <w:iCs/>
          <w:color w:val="000000"/>
          <w:sz w:val="20"/>
          <w:szCs w:val="20"/>
        </w:rPr>
        <w:t>Jurnal Publik: Scientific Journal of Public Administration</w:t>
      </w:r>
      <w:r w:rsidRPr="00606CDC">
        <w:rPr>
          <w:rFonts w:ascii="Times New Roman" w:hAnsi="Times New Roman" w:cs="Times New Roman"/>
          <w:bCs/>
          <w:color w:val="000000"/>
          <w:sz w:val="20"/>
          <w:szCs w:val="20"/>
        </w:rPr>
        <w:t>, 11(1), 1-12.</w:t>
      </w:r>
    </w:p>
    <w:p w14:paraId="19C42C62"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 xml:space="preserve">Sallu, S., Qammaddin, Q., Ashari, A., &amp; Nursamsir, N. (2023). Literature review: Digital learning of public administration based on artificial intelligence (AI). </w:t>
      </w:r>
      <w:r w:rsidRPr="00CB5E65">
        <w:rPr>
          <w:rFonts w:ascii="Times New Roman" w:hAnsi="Times New Roman" w:cs="Times New Roman"/>
          <w:bCs/>
          <w:i/>
          <w:iCs/>
          <w:color w:val="000000"/>
          <w:sz w:val="20"/>
          <w:szCs w:val="20"/>
        </w:rPr>
        <w:t>REMIK: Research and E-Journal of Computer Informatics Management</w:t>
      </w:r>
      <w:r w:rsidRPr="00606CDC">
        <w:rPr>
          <w:rFonts w:ascii="Times New Roman" w:hAnsi="Times New Roman" w:cs="Times New Roman"/>
          <w:bCs/>
          <w:color w:val="000000"/>
          <w:sz w:val="20"/>
          <w:szCs w:val="20"/>
        </w:rPr>
        <w:t>, 7(1), 367-380.</w:t>
      </w:r>
    </w:p>
    <w:p w14:paraId="15E7770F"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Salsabila, TH, Indrawati, TM, &amp; Fitrie, RA (2024). Improving the Efficiency of Public Decision Making through Artificial Intelligence</w:t>
      </w:r>
      <w:r w:rsidRPr="00CB5E65">
        <w:rPr>
          <w:rFonts w:ascii="Times New Roman" w:hAnsi="Times New Roman" w:cs="Times New Roman"/>
          <w:bCs/>
          <w:i/>
          <w:iCs/>
          <w:color w:val="000000"/>
          <w:sz w:val="20"/>
          <w:szCs w:val="20"/>
        </w:rPr>
        <w:t>. Journal of Internet and Software Engineering</w:t>
      </w:r>
      <w:r w:rsidRPr="00606CDC">
        <w:rPr>
          <w:rFonts w:ascii="Times New Roman" w:hAnsi="Times New Roman" w:cs="Times New Roman"/>
          <w:bCs/>
          <w:color w:val="000000"/>
          <w:sz w:val="20"/>
          <w:szCs w:val="20"/>
        </w:rPr>
        <w:t>, 1(2), 21-21.</w:t>
      </w:r>
    </w:p>
    <w:p w14:paraId="6BCF2A8D" w14:textId="77777777" w:rsidR="00640082" w:rsidRPr="00606CDC" w:rsidRDefault="00640082" w:rsidP="00606CDC">
      <w:pPr>
        <w:spacing w:after="0" w:line="276" w:lineRule="auto"/>
        <w:ind w:left="720" w:hanging="363"/>
        <w:rPr>
          <w:rFonts w:ascii="Times New Roman" w:hAnsi="Times New Roman" w:cs="Times New Roman"/>
          <w:bCs/>
          <w:color w:val="000000"/>
          <w:sz w:val="20"/>
          <w:szCs w:val="20"/>
        </w:rPr>
      </w:pPr>
      <w:r w:rsidRPr="00606CDC">
        <w:rPr>
          <w:rFonts w:ascii="Times New Roman" w:hAnsi="Times New Roman" w:cs="Times New Roman"/>
          <w:bCs/>
          <w:color w:val="000000"/>
          <w:sz w:val="20"/>
          <w:szCs w:val="20"/>
        </w:rPr>
        <w:t>Utami, AT, &amp; Pramuktisari, N. (2023). CHALLENGES AND OPPORTUNITIES OF ARTIFICIAL INTELLIGENCE (AI) IN BUREAUCRATIC SYSTEMS</w:t>
      </w:r>
      <w:r w:rsidRPr="00CB5E65">
        <w:rPr>
          <w:rFonts w:ascii="Times New Roman" w:hAnsi="Times New Roman" w:cs="Times New Roman"/>
          <w:bCs/>
          <w:i/>
          <w:iCs/>
          <w:color w:val="000000"/>
          <w:sz w:val="20"/>
          <w:szCs w:val="20"/>
        </w:rPr>
        <w:t>. Journal of Accounting and Taxation</w:t>
      </w:r>
      <w:r w:rsidRPr="00606CDC">
        <w:rPr>
          <w:rFonts w:ascii="Times New Roman" w:hAnsi="Times New Roman" w:cs="Times New Roman"/>
          <w:bCs/>
          <w:color w:val="000000"/>
          <w:sz w:val="20"/>
          <w:szCs w:val="20"/>
        </w:rPr>
        <w:t>, 24(2).</w:t>
      </w:r>
    </w:p>
    <w:p w14:paraId="2D72E414" w14:textId="77777777" w:rsidR="00606CDC" w:rsidRDefault="00606CDC" w:rsidP="008231FD">
      <w:pPr>
        <w:jc w:val="center"/>
        <w:rPr>
          <w:rFonts w:ascii="Times New Roman" w:eastAsia="Times New Roman" w:hAnsi="Times New Roman" w:cs="Times New Roman"/>
          <w:b/>
          <w:sz w:val="28"/>
          <w:szCs w:val="28"/>
        </w:rPr>
      </w:pPr>
    </w:p>
    <w:p w14:paraId="62EE8BE4" w14:textId="77777777" w:rsidR="00606CDC" w:rsidRDefault="00606CD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D0E55CF" w14:textId="31CFD89F" w:rsidR="00640082" w:rsidRDefault="00640082" w:rsidP="00467159">
      <w:pPr>
        <w:pStyle w:val="Heading1"/>
      </w:pPr>
      <w:bookmarkStart w:id="10" w:name="_Toc197537597"/>
      <w:r w:rsidRPr="00214861">
        <w:t xml:space="preserve">The Use </w:t>
      </w:r>
      <w:r>
        <w:t>o</w:t>
      </w:r>
      <w:r w:rsidRPr="00214861">
        <w:t xml:space="preserve">f Artificial Intelligence </w:t>
      </w:r>
      <w:r>
        <w:t>i</w:t>
      </w:r>
      <w:r w:rsidRPr="00214861">
        <w:t xml:space="preserve">n </w:t>
      </w:r>
      <w:r>
        <w:t>t</w:t>
      </w:r>
      <w:r w:rsidRPr="00214861">
        <w:t xml:space="preserve">he Social Life </w:t>
      </w:r>
      <w:r>
        <w:t>o</w:t>
      </w:r>
      <w:r w:rsidRPr="00214861">
        <w:t>f</w:t>
      </w:r>
      <w:r w:rsidR="00467159">
        <w:t xml:space="preserve"> </w:t>
      </w:r>
      <w:r w:rsidRPr="00214861">
        <w:t xml:space="preserve">People Experiencing </w:t>
      </w:r>
      <w:r>
        <w:t>a</w:t>
      </w:r>
      <w:r w:rsidRPr="00214861">
        <w:t xml:space="preserve"> Grief Crisis</w:t>
      </w:r>
      <w:bookmarkEnd w:id="10"/>
    </w:p>
    <w:p w14:paraId="19FEA6CA" w14:textId="77777777" w:rsidR="00640082" w:rsidRPr="008231FD" w:rsidRDefault="00640082" w:rsidP="008231FD">
      <w:pPr>
        <w:spacing w:line="240" w:lineRule="auto"/>
        <w:jc w:val="center"/>
        <w:rPr>
          <w:rFonts w:ascii="Times New Roman" w:eastAsia="Times New Roman" w:hAnsi="Times New Roman" w:cs="Times New Roman"/>
          <w:b/>
          <w:sz w:val="28"/>
          <w:szCs w:val="28"/>
        </w:rPr>
      </w:pPr>
    </w:p>
    <w:p w14:paraId="59515CE3" w14:textId="77777777" w:rsidR="00640082" w:rsidRPr="006701AC" w:rsidRDefault="00640082" w:rsidP="008E37C0">
      <w:pPr>
        <w:pStyle w:val="Heading2"/>
        <w:rPr>
          <w:lang w:val="id-ID"/>
        </w:rPr>
      </w:pPr>
      <w:bookmarkStart w:id="11" w:name="_Toc197537598"/>
      <w:r w:rsidRPr="006701AC">
        <w:rPr>
          <w:lang w:val="id-ID"/>
        </w:rPr>
        <w:t>Aiman Sabar Rezeky</w:t>
      </w:r>
      <w:r w:rsidRPr="006701AC">
        <w:rPr>
          <w:vertAlign w:val="superscript"/>
          <w:lang w:val="id-ID"/>
        </w:rPr>
        <w:t>1*</w:t>
      </w:r>
      <w:r w:rsidRPr="006701AC">
        <w:rPr>
          <w:lang w:val="id-ID"/>
        </w:rPr>
        <w:t>, Putriana</w:t>
      </w:r>
      <w:r w:rsidRPr="006701AC">
        <w:rPr>
          <w:vertAlign w:val="superscript"/>
          <w:lang w:val="id-ID"/>
        </w:rPr>
        <w:t>2</w:t>
      </w:r>
      <w:r w:rsidRPr="006701AC">
        <w:rPr>
          <w:lang w:val="id-ID"/>
        </w:rPr>
        <w:t>, Muh. Akram</w:t>
      </w:r>
      <w:r w:rsidRPr="006701AC">
        <w:rPr>
          <w:vertAlign w:val="superscript"/>
          <w:lang w:val="id-ID"/>
        </w:rPr>
        <w:t>3</w:t>
      </w:r>
      <w:r w:rsidRPr="006701AC">
        <w:rPr>
          <w:lang w:val="id-ID"/>
        </w:rPr>
        <w:t>, Andi Nurul Aeni</w:t>
      </w:r>
      <w:r w:rsidRPr="006701AC">
        <w:rPr>
          <w:vertAlign w:val="superscript"/>
          <w:lang w:val="id-ID"/>
        </w:rPr>
        <w:t>4</w:t>
      </w:r>
      <w:r w:rsidRPr="006701AC">
        <w:rPr>
          <w:lang w:val="id-ID"/>
        </w:rPr>
        <w:t>,                                 Andi Fahd  Aaqila Makkasau</w:t>
      </w:r>
      <w:r w:rsidRPr="006701AC">
        <w:rPr>
          <w:vertAlign w:val="superscript"/>
          <w:lang w:val="id-ID"/>
        </w:rPr>
        <w:t>5</w:t>
      </w:r>
      <w:bookmarkEnd w:id="11"/>
    </w:p>
    <w:p w14:paraId="21655193"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Department of Government Science, Faculty of Social and Political Sciences, Hasanuddin University, Makassar City, Indonesia</w:t>
      </w:r>
    </w:p>
    <w:p w14:paraId="46F73777"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24">
        <w:r>
          <w:rPr>
            <w:rFonts w:ascii="Times New Roman" w:eastAsia="Times New Roman" w:hAnsi="Times New Roman" w:cs="Times New Roman"/>
            <w:sz w:val="24"/>
            <w:szCs w:val="24"/>
          </w:rPr>
          <w:t>aimansrezeky@gmail.com</w:t>
        </w:r>
      </w:hyperlink>
    </w:p>
    <w:p w14:paraId="15179983"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Department of Communication Science, Faculty of Social and Political Sciences, Hasanuddin University, Makassar City, Indonesia</w:t>
      </w:r>
    </w:p>
    <w:p w14:paraId="456902CB"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putriananatsir@gmail.com</w:t>
      </w:r>
    </w:p>
    <w:p w14:paraId="689CF52B"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Department of Communication Science, Faculty of Social and Political Sciences, Hasanuddin University, Makassar City, Indonesia</w:t>
      </w:r>
    </w:p>
    <w:p w14:paraId="68766123"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akramalwi1310@gmail.com</w:t>
      </w:r>
    </w:p>
    <w:p w14:paraId="207978D9"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Department of Political Science, Faculty of Social and Political Sciences,</w:t>
      </w:r>
    </w:p>
    <w:p w14:paraId="6F1DDD58"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Hasanuddin University, Makassar City, Indonesia</w:t>
      </w:r>
    </w:p>
    <w:p w14:paraId="67C161DE"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andinurulaeni@gmail.com</w:t>
      </w:r>
    </w:p>
    <w:p w14:paraId="00D466E1"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Department of Political Science, Faculty of Social and Political Sciences,</w:t>
      </w:r>
    </w:p>
    <w:p w14:paraId="6F7B886C"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Hasanuddin University, Makassar City, Indonesia</w:t>
      </w:r>
    </w:p>
    <w:p w14:paraId="712D8A66" w14:textId="77777777" w:rsidR="00640082" w:rsidRDefault="006400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andifahda.makkasaau@gmail.com</w:t>
      </w:r>
    </w:p>
    <w:p w14:paraId="7B235779" w14:textId="77777777" w:rsidR="00640082" w:rsidRDefault="00640082" w:rsidP="00726AE4"/>
    <w:p w14:paraId="15DFB6DE" w14:textId="77777777" w:rsidR="00640082" w:rsidRDefault="00640082">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*Corresponding Author : </w:t>
      </w:r>
      <w:hyperlink r:id="rId25">
        <w:r>
          <w:rPr>
            <w:rFonts w:ascii="Times New Roman" w:eastAsia="Times New Roman" w:hAnsi="Times New Roman" w:cs="Times New Roman"/>
            <w:sz w:val="24"/>
            <w:szCs w:val="24"/>
          </w:rPr>
          <w:t>aimansrezeky@gmail.com</w:t>
        </w:r>
      </w:hyperlink>
    </w:p>
    <w:p w14:paraId="42772A81" w14:textId="77777777" w:rsidR="00640082" w:rsidRDefault="006400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70A6781E" w14:textId="77777777" w:rsidR="00640082" w:rsidRPr="00D7592B" w:rsidRDefault="00640082" w:rsidP="00501FBD">
      <w:pPr>
        <w:spacing w:line="240" w:lineRule="auto"/>
        <w:rPr>
          <w:rFonts w:ascii="Times New Roman" w:eastAsia="Times New Roman" w:hAnsi="Times New Roman" w:cs="Times New Roman"/>
          <w:sz w:val="18"/>
          <w:szCs w:val="18"/>
        </w:rPr>
      </w:pPr>
      <w:r w:rsidRPr="00501FBD">
        <w:rPr>
          <w:rFonts w:ascii="Times New Roman" w:eastAsia="Times New Roman" w:hAnsi="Times New Roman" w:cs="Times New Roman"/>
          <w:sz w:val="18"/>
          <w:szCs w:val="18"/>
        </w:rPr>
        <w:t>The development of technology, information and communication has had a major impact on the dynamics of social life. One of the technologies that is now widely used in almost all sectors is Artificial Intelligence (AI). In social life, AI is used to facilitate interactions between individuals and improve the efficiency of various daily activities. The use of AI, such as ChatGPT and Deepfake, continues to be an important issue in recent times. Apart from business and educational purposes, the use of ChatGPT and Deepfake is also driven by various motivations, including the visual reconstruction of a deceased person. This study aims to analyse the use of Artificial Intelligence (AI), specifically ChatGPT and Deepfake, in dealing with grief crisis and its impact on social life. Using a quantitative approach by distributing questionnaires to 30 respondents, this study found that the majority of respondents who experienced a grief crisis used AI to interact with their deceased loved ones. AI is considered to provide emotional support and help alleviate longing. The results showed that (1) the use of AI did not significantly change the frequency of respondents' social interactions, but it did increase their confidence in interacting with others. Despite this, most respondents still believe in the importance of human social support; (2) the use of AI in this context raises ethical dilemmas, but most respondents think that the use of AI is acceptable as long as it is done wisely; (3) AI can be a tool in coping with the grief crisis, but it cannot completely replace human social interaction. It is important for individuals to maintain a balance between interaction with AI and social interaction with others</w:t>
      </w:r>
      <w:r w:rsidRPr="00D7592B">
        <w:rPr>
          <w:rFonts w:ascii="Times New Roman" w:eastAsia="Times New Roman" w:hAnsi="Times New Roman" w:cs="Times New Roman"/>
          <w:sz w:val="18"/>
          <w:szCs w:val="18"/>
        </w:rPr>
        <w:t>.</w:t>
      </w:r>
    </w:p>
    <w:p w14:paraId="3D5B0E42" w14:textId="77777777" w:rsidR="00640082" w:rsidRDefault="00640082">
      <w:pPr>
        <w:spacing w:line="240" w:lineRule="auto"/>
        <w:rPr>
          <w:rFonts w:ascii="Times New Roman" w:eastAsia="Times New Roman" w:hAnsi="Times New Roman" w:cs="Times New Roman"/>
          <w:i/>
          <w:sz w:val="18"/>
          <w:szCs w:val="18"/>
        </w:rPr>
      </w:pPr>
      <w:r>
        <w:rPr>
          <w:rFonts w:ascii="Times New Roman" w:eastAsia="Times New Roman" w:hAnsi="Times New Roman" w:cs="Times New Roman"/>
          <w:b/>
          <w:i/>
          <w:sz w:val="18"/>
          <w:szCs w:val="18"/>
        </w:rPr>
        <w:t>Keywords:</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 xml:space="preserve">Artificial Intelligence; Grief Crisis; ChatGPT; Deepfake; </w:t>
      </w:r>
      <w:r w:rsidRPr="00501FBD">
        <w:rPr>
          <w:rFonts w:ascii="Times New Roman" w:eastAsia="Times New Roman" w:hAnsi="Times New Roman" w:cs="Times New Roman"/>
          <w:i/>
          <w:sz w:val="18"/>
          <w:szCs w:val="18"/>
        </w:rPr>
        <w:t xml:space="preserve">Social </w:t>
      </w:r>
      <w:r>
        <w:rPr>
          <w:rFonts w:ascii="Times New Roman" w:eastAsia="Times New Roman" w:hAnsi="Times New Roman" w:cs="Times New Roman"/>
          <w:i/>
          <w:sz w:val="18"/>
          <w:szCs w:val="18"/>
        </w:rPr>
        <w:t>I</w:t>
      </w:r>
      <w:r w:rsidRPr="00501FBD">
        <w:rPr>
          <w:rFonts w:ascii="Times New Roman" w:eastAsia="Times New Roman" w:hAnsi="Times New Roman" w:cs="Times New Roman"/>
          <w:i/>
          <w:sz w:val="18"/>
          <w:szCs w:val="18"/>
        </w:rPr>
        <w:t>nteraction</w:t>
      </w:r>
      <w:r>
        <w:rPr>
          <w:rFonts w:ascii="Times New Roman" w:eastAsia="Times New Roman" w:hAnsi="Times New Roman" w:cs="Times New Roman"/>
          <w:i/>
          <w:sz w:val="18"/>
          <w:szCs w:val="18"/>
        </w:rPr>
        <w:t>.</w:t>
      </w:r>
    </w:p>
    <w:p w14:paraId="76C55162" w14:textId="77777777" w:rsidR="00606CDC" w:rsidRDefault="00606CDC">
      <w:pPr>
        <w:spacing w:line="240" w:lineRule="auto"/>
        <w:rPr>
          <w:rFonts w:ascii="Times New Roman" w:eastAsia="Times New Roman" w:hAnsi="Times New Roman" w:cs="Times New Roman"/>
          <w:i/>
          <w:sz w:val="18"/>
          <w:szCs w:val="18"/>
        </w:rPr>
      </w:pPr>
    </w:p>
    <w:p w14:paraId="6A52FA96" w14:textId="77777777" w:rsidR="00606CDC" w:rsidRDefault="00606CDC">
      <w:pPr>
        <w:spacing w:line="240" w:lineRule="auto"/>
        <w:rPr>
          <w:rFonts w:ascii="Times New Roman" w:eastAsia="Times New Roman" w:hAnsi="Times New Roman" w:cs="Times New Roman"/>
          <w:i/>
          <w:sz w:val="18"/>
          <w:szCs w:val="18"/>
        </w:rPr>
      </w:pPr>
    </w:p>
    <w:p w14:paraId="693EE173" w14:textId="77777777" w:rsidR="00640082" w:rsidRDefault="00640082" w:rsidP="00640082">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C5BF310" w14:textId="77777777" w:rsidR="00640082" w:rsidRPr="00501FBD" w:rsidRDefault="00640082" w:rsidP="00501FBD">
      <w:pPr>
        <w:spacing w:line="240" w:lineRule="auto"/>
        <w:ind w:left="720" w:firstLine="720"/>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The development of technology, information and communication has had a strong impact on the dynamics of social life. Before its existence, interactions between one individual and another took place directly face to face and then shifted through the use of various media (Yoga, 2018). At the beginning of its rapid emergence, technology was influenced by the drive of every industry that needed progress and convenience for every task. The implication is that the presence of technology changes the way everyone in the world lives, from the way they work to the way they interact in their daily social life (Marzal, 2019).</w:t>
      </w:r>
    </w:p>
    <w:p w14:paraId="5E887112" w14:textId="77777777" w:rsidR="00640082" w:rsidRPr="00501FBD" w:rsidRDefault="00640082" w:rsidP="00501FBD">
      <w:pPr>
        <w:spacing w:line="240" w:lineRule="auto"/>
        <w:ind w:left="720" w:firstLine="720"/>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The need for technology has now become an essential part of every individual's life. And now it seems that technology itself is difficult to separate from each individual. Technology that originally came from science, now science is dependent on technology itself (Ngafifi, 2014). One of the technologies that is now widely used in almost all sectors is Artificial Intelligence (AI). Since its first presence and introduction globally, AI has become very popular almost all over the world because its function is so easy for everyone in every field.</w:t>
      </w:r>
    </w:p>
    <w:p w14:paraId="3366AB96" w14:textId="77777777" w:rsidR="00640082" w:rsidRDefault="00640082" w:rsidP="00501FBD">
      <w:pPr>
        <w:spacing w:line="240" w:lineRule="auto"/>
        <w:ind w:left="720" w:firstLine="720"/>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In social life, for example, AI is used to facilitate interactions between individuals and increase the efficiency of various daily activities. The emergence of AI is an evolution in interpersonal communication, an evolution that affects how people interact in their daily lives. The presence of AI has successfully changed human thinking that there is a communication process that takes place not only with fellow humans (Pramana et al, 2023). In other contexts, such as the academic world, AI offers great potential benefits, such as increasing the efficiency of learning, providing individualised support for students, and assisting teachers in providing more personalised learning (Diantama, 2024).</w:t>
      </w:r>
    </w:p>
    <w:p w14:paraId="04D1707D" w14:textId="77777777" w:rsidR="00640082" w:rsidRDefault="00640082" w:rsidP="00C60454">
      <w:pPr>
        <w:spacing w:line="240" w:lineRule="auto"/>
        <w:ind w:left="720" w:firstLine="720"/>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The use of AI such as ChatGPT and Deepfake continues to be an important issue in recent times. Apart from business and educational purposes, the use of ChatGPT and Deepfake is also driven by various motivations, including the visual reconstruction of a deceased person. AI, in this case ChatGPT and Deepfake, is the development of algorithmic innovations that allow computers to process and learn data before making automated predictions with minimal human intervention. Through the concept of deep learning, Deepfake aims to produce realistic visual content in the form of authentic-looking images and videos. Deepfake's manipulation technology uses a Generative Adversarial Networks (GAN) system with two main components: a generator and a discriminator (Almars, 2021). The two work in harmony, with the generator producing realistic audio-visuals while the discriminator judges how realistic the visualisation is. If the discriminator judges that the image is likely to be judged as real, then the generator will continue to work on multi-level standards to continue to produce accurate visualisations. Similarly, the ChatGPT system uses the concept of natural language processing. This system encourages computers to understand humans through written or spoken language, allowing them to understand instructions and data in a meaningful way and determine the sentiment of the data (Patra &amp; Kumar, 2020). Furthermore, ChatGPT also works by using big data from all sources to understand the dialogue and provide contextually appropriate responses (Tjahyanti et al, 2022).</w:t>
      </w:r>
      <w:r>
        <w:rPr>
          <w:rFonts w:ascii="Times New Roman" w:eastAsia="Times New Roman" w:hAnsi="Times New Roman" w:cs="Times New Roman"/>
          <w:sz w:val="20"/>
          <w:szCs w:val="20"/>
        </w:rPr>
        <w:t xml:space="preserve"> </w:t>
      </w:r>
      <w:r w:rsidRPr="00501FBD">
        <w:rPr>
          <w:rFonts w:ascii="Times New Roman" w:eastAsia="Times New Roman" w:hAnsi="Times New Roman" w:cs="Times New Roman"/>
          <w:sz w:val="20"/>
          <w:szCs w:val="20"/>
        </w:rPr>
        <w:t xml:space="preserve">These two innovations have great potential in creating an interactive experience for users to communicate and reconstruct a deceased person through natural dialogue. In addition, by providing emotional comfort to the user, these innovations play an important role in commemorating, remembering and honouring a deceased loved one. </w:t>
      </w:r>
    </w:p>
    <w:p w14:paraId="71D51A76" w14:textId="77777777" w:rsidR="00640082" w:rsidRDefault="00640082" w:rsidP="00C60454">
      <w:pPr>
        <w:spacing w:line="240" w:lineRule="auto"/>
        <w:ind w:left="720" w:firstLine="720"/>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Therefore, it is not surprising that both AIs are used by people who are experiencing a grief crisis, which is an emotional response in humans to feelings of deep sadness that are manifested in unique ways based on personal experience, culture, or spiritual beliefs (Wiryasaputra, 2019).</w:t>
      </w:r>
      <w:r>
        <w:rPr>
          <w:rFonts w:ascii="Times New Roman" w:eastAsia="Times New Roman" w:hAnsi="Times New Roman" w:cs="Times New Roman"/>
          <w:sz w:val="20"/>
          <w:szCs w:val="20"/>
        </w:rPr>
        <w:t xml:space="preserve"> </w:t>
      </w:r>
      <w:r w:rsidRPr="00501FBD">
        <w:rPr>
          <w:rFonts w:ascii="Times New Roman" w:eastAsia="Times New Roman" w:hAnsi="Times New Roman" w:cs="Times New Roman"/>
          <w:sz w:val="20"/>
          <w:szCs w:val="20"/>
        </w:rPr>
        <w:t>In terms of social aspects, people in a grief crisis experience many changes and adjustments in terms of interacting with other individuals, which may cause internal conflicts within themselves (Milawati &amp; Widyastuti, 2023).</w:t>
      </w:r>
      <w:r>
        <w:rPr>
          <w:rFonts w:ascii="Times New Roman" w:eastAsia="Times New Roman" w:hAnsi="Times New Roman" w:cs="Times New Roman"/>
          <w:sz w:val="20"/>
          <w:szCs w:val="20"/>
        </w:rPr>
        <w:t xml:space="preserve"> </w:t>
      </w:r>
      <w:r w:rsidRPr="00C60454">
        <w:rPr>
          <w:rFonts w:ascii="Times New Roman" w:eastAsia="Times New Roman" w:hAnsi="Times New Roman" w:cs="Times New Roman"/>
          <w:sz w:val="20"/>
          <w:szCs w:val="20"/>
        </w:rPr>
        <w:t>The relationship between Grief Crisis and the use of AI in one's social life is new and taboo in the current era. This should be studied more deeply to discover why artificial intelligence has become so relevant and important in providing effective and innovative solutions to the challenges of today's humans who spend more time with existing technology, rather than socialising with their environment (Ardita et al, 2023).</w:t>
      </w:r>
    </w:p>
    <w:p w14:paraId="1E19FCA2" w14:textId="0C6429DB" w:rsidR="00640082" w:rsidRDefault="00640082" w:rsidP="00606CDC">
      <w:pPr>
        <w:spacing w:line="240" w:lineRule="auto"/>
        <w:ind w:left="720" w:firstLine="720"/>
        <w:rPr>
          <w:rFonts w:ascii="Times New Roman" w:eastAsia="Times New Roman" w:hAnsi="Times New Roman" w:cs="Times New Roman"/>
          <w:sz w:val="20"/>
          <w:szCs w:val="20"/>
        </w:rPr>
      </w:pPr>
      <w:r w:rsidRPr="00C60454">
        <w:rPr>
          <w:rFonts w:ascii="Times New Roman" w:eastAsia="Times New Roman" w:hAnsi="Times New Roman" w:cs="Times New Roman"/>
          <w:sz w:val="20"/>
          <w:szCs w:val="20"/>
        </w:rPr>
        <w:t>This phenomenon is not yet fully understood, and researchers want to know the extent to which the use of AI can change individuals' social interaction patterns or have a positive or negative impact on their psychological conditions, as well as their social lives. Will people no longer need the presence of humans and their social environment to deal with their psychological challenges? The context of grief in each person's psychological state is different-the way to overcome these c</w:t>
      </w:r>
      <w:r>
        <w:rPr>
          <w:rFonts w:ascii="Times New Roman" w:eastAsia="Times New Roman" w:hAnsi="Times New Roman" w:cs="Times New Roman"/>
          <w:sz w:val="20"/>
          <w:szCs w:val="20"/>
        </w:rPr>
        <w:t>h</w:t>
      </w:r>
      <w:r w:rsidRPr="00C60454">
        <w:rPr>
          <w:rFonts w:ascii="Times New Roman" w:eastAsia="Times New Roman" w:hAnsi="Times New Roman" w:cs="Times New Roman"/>
          <w:sz w:val="20"/>
          <w:szCs w:val="20"/>
        </w:rPr>
        <w:t>allenges, and the relationship with artificial intelligence is a more advanced innovation (Putri et al, 2022). This research aims deeper to discover whether the use of artificial intelligence in the future will be more able to answer all the challenges that exist because of its amazing nature, rationality, and mathematical calculations through algorithms that are created to provide the answers needed by its users (Juanita, 2024). Researchers see this phenomenon as the nature of humans who are looking for a quick way to fulfil their needs temporarily, and still need a real social life.</w:t>
      </w:r>
      <w:r w:rsidRPr="00C0650D">
        <w:t xml:space="preserve"> </w:t>
      </w:r>
      <w:r w:rsidRPr="00C0650D">
        <w:rPr>
          <w:rFonts w:ascii="Times New Roman" w:eastAsia="Times New Roman" w:hAnsi="Times New Roman" w:cs="Times New Roman"/>
          <w:sz w:val="20"/>
          <w:szCs w:val="20"/>
        </w:rPr>
        <w:t>This led to the main research question, namely</w:t>
      </w:r>
      <w:r>
        <w:rPr>
          <w:rFonts w:ascii="Times New Roman" w:eastAsia="Times New Roman" w:hAnsi="Times New Roman" w:cs="Times New Roman"/>
          <w:sz w:val="20"/>
          <w:szCs w:val="20"/>
        </w:rPr>
        <w:t>:</w:t>
      </w:r>
      <w:r w:rsidRPr="00C0650D">
        <w:rPr>
          <w:rFonts w:ascii="Times New Roman" w:eastAsia="Times New Roman" w:hAnsi="Times New Roman" w:cs="Times New Roman"/>
          <w:sz w:val="20"/>
          <w:szCs w:val="20"/>
        </w:rPr>
        <w:t xml:space="preserve"> How does the use of artificial intelligence during grief crisis and its </w:t>
      </w:r>
      <w:r>
        <w:rPr>
          <w:rFonts w:ascii="Times New Roman" w:eastAsia="Times New Roman" w:hAnsi="Times New Roman" w:cs="Times New Roman"/>
          <w:sz w:val="20"/>
          <w:szCs w:val="20"/>
        </w:rPr>
        <w:t>impact</w:t>
      </w:r>
      <w:r w:rsidRPr="00C0650D">
        <w:rPr>
          <w:rFonts w:ascii="Times New Roman" w:eastAsia="Times New Roman" w:hAnsi="Times New Roman" w:cs="Times New Roman"/>
          <w:sz w:val="20"/>
          <w:szCs w:val="20"/>
        </w:rPr>
        <w:t xml:space="preserve"> with the social life of the user?</w:t>
      </w:r>
    </w:p>
    <w:p w14:paraId="65FD91F0" w14:textId="77777777" w:rsidR="00640082" w:rsidRDefault="00640082" w:rsidP="00640082">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4BD4A224" w14:textId="77777777" w:rsidR="00640082" w:rsidRDefault="00640082" w:rsidP="00B93F3F">
      <w:pPr>
        <w:spacing w:line="240" w:lineRule="auto"/>
        <w:ind w:left="717" w:firstLine="701"/>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 xml:space="preserve">The approach used in this research is quantitative. </w:t>
      </w:r>
      <w:r w:rsidRPr="00C0650D">
        <w:rPr>
          <w:rFonts w:ascii="Times New Roman" w:eastAsia="Times New Roman" w:hAnsi="Times New Roman" w:cs="Times New Roman"/>
          <w:sz w:val="20"/>
          <w:szCs w:val="20"/>
        </w:rPr>
        <w:t>This research was carried out over 30 working days (1 month) from November to December 2024</w:t>
      </w:r>
      <w:r>
        <w:rPr>
          <w:rFonts w:ascii="Times New Roman" w:eastAsia="Times New Roman" w:hAnsi="Times New Roman" w:cs="Times New Roman"/>
          <w:sz w:val="20"/>
          <w:szCs w:val="20"/>
        </w:rPr>
        <w:t>.</w:t>
      </w:r>
      <w:r w:rsidRPr="00C0650D">
        <w:rPr>
          <w:rFonts w:ascii="Times New Roman" w:eastAsia="Times New Roman" w:hAnsi="Times New Roman" w:cs="Times New Roman"/>
          <w:sz w:val="20"/>
          <w:szCs w:val="20"/>
        </w:rPr>
        <w:t xml:space="preserve"> </w:t>
      </w:r>
      <w:r w:rsidRPr="00501FBD">
        <w:rPr>
          <w:rFonts w:ascii="Times New Roman" w:eastAsia="Times New Roman" w:hAnsi="Times New Roman" w:cs="Times New Roman"/>
          <w:sz w:val="20"/>
          <w:szCs w:val="20"/>
        </w:rPr>
        <w:t>In order to obtain research data, the researchers used data collection techniques in the form of distributing questionnaires, namely by providing research questions to the respondents to be answered according to the respondents' conditions. The questionnaire was distributed online using the Google Form application.</w:t>
      </w:r>
    </w:p>
    <w:p w14:paraId="375D25E1" w14:textId="77777777" w:rsidR="00640082" w:rsidRDefault="00640082" w:rsidP="00B93F3F">
      <w:pPr>
        <w:spacing w:line="240" w:lineRule="auto"/>
        <w:ind w:left="717" w:firstLine="701"/>
        <w:rPr>
          <w:rFonts w:ascii="Times New Roman" w:eastAsia="Times New Roman" w:hAnsi="Times New Roman" w:cs="Times New Roman"/>
          <w:sz w:val="20"/>
          <w:szCs w:val="20"/>
        </w:rPr>
      </w:pPr>
      <w:r w:rsidRPr="00501FBD">
        <w:rPr>
          <w:rFonts w:ascii="Times New Roman" w:eastAsia="Times New Roman" w:hAnsi="Times New Roman" w:cs="Times New Roman"/>
          <w:sz w:val="20"/>
          <w:szCs w:val="20"/>
        </w:rPr>
        <w:t xml:space="preserve">This study involved 30 respondents, of which 23 </w:t>
      </w:r>
      <w:r>
        <w:rPr>
          <w:rFonts w:ascii="Times New Roman" w:eastAsia="Times New Roman" w:hAnsi="Times New Roman" w:cs="Times New Roman"/>
          <w:sz w:val="20"/>
          <w:szCs w:val="20"/>
        </w:rPr>
        <w:t xml:space="preserve">respondents </w:t>
      </w:r>
      <w:r w:rsidRPr="00501FBD">
        <w:rPr>
          <w:rFonts w:ascii="Times New Roman" w:eastAsia="Times New Roman" w:hAnsi="Times New Roman" w:cs="Times New Roman"/>
          <w:sz w:val="20"/>
          <w:szCs w:val="20"/>
        </w:rPr>
        <w:t xml:space="preserve">(76.7%) were female and 7 </w:t>
      </w:r>
      <w:r>
        <w:rPr>
          <w:rFonts w:ascii="Times New Roman" w:eastAsia="Times New Roman" w:hAnsi="Times New Roman" w:cs="Times New Roman"/>
          <w:sz w:val="20"/>
          <w:szCs w:val="20"/>
        </w:rPr>
        <w:t xml:space="preserve">respondents </w:t>
      </w:r>
      <w:r w:rsidRPr="00501FBD">
        <w:rPr>
          <w:rFonts w:ascii="Times New Roman" w:eastAsia="Times New Roman" w:hAnsi="Times New Roman" w:cs="Times New Roman"/>
          <w:sz w:val="20"/>
          <w:szCs w:val="20"/>
        </w:rPr>
        <w:t>(23.3%) were male. The dominance of female respondents indicates a difference in the level of resilience with men.</w:t>
      </w:r>
      <w:r w:rsidRPr="00B93F3F">
        <w:t xml:space="preserve"> </w:t>
      </w:r>
      <w:r w:rsidRPr="00B93F3F">
        <w:rPr>
          <w:rFonts w:ascii="Times New Roman" w:eastAsia="Times New Roman" w:hAnsi="Times New Roman" w:cs="Times New Roman"/>
          <w:sz w:val="20"/>
          <w:szCs w:val="20"/>
        </w:rPr>
        <w:t>This number of respondents is based on the opinion of Singarimbun and Effendi (1995) who say that with a minimum number of 30 people, the distribution of values will be closer to the normal curve and increase the validity of the research.</w:t>
      </w:r>
      <w:r w:rsidRPr="00B93F3F">
        <w:t xml:space="preserve"> </w:t>
      </w:r>
      <w:r w:rsidRPr="00B93F3F">
        <w:rPr>
          <w:rFonts w:ascii="Times New Roman" w:eastAsia="Times New Roman" w:hAnsi="Times New Roman" w:cs="Times New Roman"/>
          <w:sz w:val="20"/>
          <w:szCs w:val="20"/>
        </w:rPr>
        <w:t>Several steps were taken to analyse the questionnaire data, starting with collecting and organising the available data in the form of spreadsheets, presenting the data in the form of pie charts, calculating the frequency and/or percentage of the data and drawing conclusions.</w:t>
      </w:r>
    </w:p>
    <w:p w14:paraId="0B830AAC" w14:textId="77777777" w:rsidR="00640082" w:rsidRDefault="00640082" w:rsidP="00A76FFE">
      <w:pPr>
        <w:spacing w:line="240" w:lineRule="auto"/>
        <w:ind w:left="717" w:firstLine="701"/>
        <w:rPr>
          <w:rFonts w:ascii="Times New Roman" w:eastAsia="Times New Roman" w:hAnsi="Times New Roman" w:cs="Times New Roman"/>
          <w:sz w:val="20"/>
          <w:szCs w:val="20"/>
        </w:rPr>
      </w:pPr>
      <w:r w:rsidRPr="00DB4818">
        <w:rPr>
          <w:rFonts w:ascii="Times New Roman" w:eastAsia="Times New Roman" w:hAnsi="Times New Roman" w:cs="Times New Roman"/>
          <w:sz w:val="20"/>
          <w:szCs w:val="20"/>
        </w:rPr>
        <w:t>This research involved respondents from both inside and outside Sulawesi Island, including 23 respondents (76.7%) from inside Sulawesi Island and 7 respondents (23.3%) from outside Sulawesi Island. In addition, the majority of respondents came from different age groups, which were relatively the same, namely 17-25 years old. The age distribution of the respondents was as follows: 3 people (10%) aged 17 years, 2 people (6.7%) aged 18 years, 9 people (30%) aged 19 years, 3 people (10%) aged 20 years, 8 people (26.6%) aged 21 years, 2 people (6.7%) aged 23 years, 2 people (6.7%) aged 25 years, and the remaining 1 person (3.3%) aged 29 years. This data shows a strong connection between the younger generation and the use of AI in today's digital age. The respondents, predominantly aged 17-25 years, have grown up in the era of technology, including AI, which has become an integral part of their daily lives, both in building communication and digital construction.</w:t>
      </w:r>
    </w:p>
    <w:p w14:paraId="3D3D2B79" w14:textId="77777777" w:rsidR="00640082" w:rsidRDefault="00640082" w:rsidP="00640082">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 and Discussion</w:t>
      </w:r>
    </w:p>
    <w:p w14:paraId="6EB98344" w14:textId="77777777" w:rsidR="00640082" w:rsidRDefault="00640082">
      <w:pPr>
        <w:spacing w:line="240" w:lineRule="auto"/>
        <w:ind w:left="717"/>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3.1 </w:t>
      </w:r>
      <w:r w:rsidRPr="00214861">
        <w:rPr>
          <w:rFonts w:ascii="Times New Roman" w:eastAsia="Times New Roman" w:hAnsi="Times New Roman" w:cs="Times New Roman"/>
          <w:b/>
          <w:sz w:val="20"/>
          <w:szCs w:val="20"/>
        </w:rPr>
        <w:t>Overview of the Research Respondents</w:t>
      </w:r>
    </w:p>
    <w:p w14:paraId="5DEDBE63" w14:textId="77777777" w:rsidR="00640082" w:rsidRPr="003862C7" w:rsidRDefault="00640082" w:rsidP="003862C7">
      <w:pPr>
        <w:spacing w:before="240" w:after="240" w:line="240" w:lineRule="auto"/>
        <w:ind w:left="708" w:firstLine="710"/>
        <w:rPr>
          <w:rFonts w:ascii="Times New Roman" w:eastAsia="Times New Roman" w:hAnsi="Times New Roman" w:cs="Times New Roman"/>
          <w:sz w:val="20"/>
          <w:szCs w:val="20"/>
        </w:rPr>
      </w:pPr>
      <w:r w:rsidRPr="00214861">
        <w:rPr>
          <w:rFonts w:ascii="Times New Roman" w:eastAsia="Times New Roman" w:hAnsi="Times New Roman" w:cs="Times New Roman"/>
          <w:sz w:val="20"/>
          <w:szCs w:val="20"/>
        </w:rPr>
        <w:t>Due to high internet penetration and the younger generation's accessibility to AI-based applications, the younger generation, especially those aged 17-25, is the dominant group in the use of AI. The younger generation, especially Generation Z, is the largest population connected to the internet with 34.40% (APJII, 2024). This increases the visibility of AI among Generation Z. This data is consistent with the results of the April 2023 Populix survey, which included 1,014 respondents aged 17-55. The survey showed that the use of AI in Indonesia is dominated by users aged 17-25 years (51%), followed by users aged 26-35 years (33%).</w:t>
      </w:r>
    </w:p>
    <w:p w14:paraId="04ADD162" w14:textId="77777777" w:rsidR="00640082" w:rsidRDefault="00640082" w:rsidP="00A76FFE">
      <w:pPr>
        <w:spacing w:before="240" w:after="240" w:line="240" w:lineRule="auto"/>
        <w:ind w:left="708" w:firstLine="710"/>
      </w:pPr>
      <w:r w:rsidRPr="00214861">
        <w:rPr>
          <w:rFonts w:ascii="Times New Roman" w:eastAsia="Times New Roman" w:hAnsi="Times New Roman" w:cs="Times New Roman"/>
          <w:sz w:val="20"/>
          <w:szCs w:val="20"/>
        </w:rPr>
        <w:t>Moreover, the rampant use of AI among the younger generation is also driven by the need for innovation, especially in the context of education and career. Most of those classified as students are using AI innovations to facilitate their studies. In a survey conducted by the Digital Education Council on the use of AI in education, the survey results showed that 86% or around 3,301 out of 3,839 respondents used AI in their undergraduate, masters and doctoral studies across different fields of study (Kelly, 2024). These data also show that 54% of respondents use AI at least once a week, and 24% use it daily. ChatGPT is the most commonly used AI feature, followed by Grammarly and Microsoft Copilot. The purposes for which respondents use AI vary, ranging from information retrieval, writing and grammar correction, document summarisation, document reformulation, to the creation of first drafts of documents. Not only that, but in the career context, AI is also widely used for work purposes. Microsoft and LinkedIn, in their 2024 Work Trends Index Annual Report, show the increasing use of AI in the workplace, both with and without the company's consent. In addition, the report shows that 75% of workers worldwide are using AI, including 85% of Gen Z workers and 73% of Boomers.</w:t>
      </w:r>
    </w:p>
    <w:p w14:paraId="4E4135AB" w14:textId="465F056F" w:rsidR="00640082" w:rsidRDefault="00640082" w:rsidP="00606CDC">
      <w:pPr>
        <w:spacing w:before="240" w:after="240" w:line="240" w:lineRule="auto"/>
        <w:ind w:left="708" w:firstLine="710"/>
        <w:rPr>
          <w:rFonts w:ascii="Times New Roman" w:eastAsia="Times New Roman" w:hAnsi="Times New Roman" w:cs="Times New Roman"/>
          <w:sz w:val="20"/>
          <w:szCs w:val="20"/>
        </w:rPr>
      </w:pPr>
      <w:r w:rsidRPr="00214861">
        <w:rPr>
          <w:rFonts w:ascii="Times New Roman" w:eastAsia="Times New Roman" w:hAnsi="Times New Roman" w:cs="Times New Roman"/>
          <w:sz w:val="20"/>
          <w:szCs w:val="20"/>
        </w:rPr>
        <w:t xml:space="preserve">The rise in AI use among the younger generation is also supported by the generation's high level of adaptability to change, including the emergence of AI. The younger generation is the demographic group most enthusiastic about AI. The comparison of enthusiasm between the younger generation and the previous generation is in line with Alvara Research Centre's survey, which divided AI users in Indonesia in 2024 into three groups. Of the 1,800 respondents, 12% are classified as AI Enthusiasts, who believe that AI is very beneficial to human life and are pioneers in the use of AI; 66% are AI Adopters, who are quite behind in the use of AI but consider the benefits of AI; and 22% are AI Sceptics, who believe that AI tends to have a negative impact on human life. Furthermore, the survey shows the dominance of Generation Z in the AI Enthusiasts group, and the older the generation group, the more sceptical they are about the use of AI </w:t>
      </w:r>
      <w:bookmarkStart w:id="12" w:name="_Hlk183362156"/>
      <w:r>
        <w:rPr>
          <w:rFonts w:ascii="Times New Roman" w:eastAsia="Times New Roman" w:hAnsi="Times New Roman" w:cs="Times New Roman"/>
          <w:sz w:val="20"/>
          <w:szCs w:val="20"/>
        </w:rPr>
        <w:t>(Huda, 2024).</w:t>
      </w:r>
    </w:p>
    <w:p w14:paraId="2E0D22F2" w14:textId="2B278499" w:rsidR="00380B1B" w:rsidRDefault="00640082" w:rsidP="00380B1B">
      <w:pPr>
        <w:spacing w:before="240" w:after="240" w:line="240" w:lineRule="auto"/>
        <w:ind w:left="0" w:right="403"/>
        <w:rPr>
          <w:rFonts w:ascii="Times New Roman" w:hAnsi="Times New Roman" w:cs="Times New Roman"/>
          <w:sz w:val="20"/>
          <w:szCs w:val="20"/>
        </w:rPr>
      </w:pPr>
      <w:r>
        <w:rPr>
          <w:rFonts w:ascii="Times New Roman" w:eastAsia="Times New Roman" w:hAnsi="Times New Roman" w:cs="Times New Roman"/>
          <w:b/>
          <w:sz w:val="20"/>
          <w:szCs w:val="20"/>
        </w:rPr>
        <w:t xml:space="preserve">3.2 </w:t>
      </w:r>
      <w:bookmarkStart w:id="13" w:name="_Hlk183362127"/>
      <w:r w:rsidRPr="00214861">
        <w:rPr>
          <w:rFonts w:ascii="Times New Roman" w:eastAsia="Times New Roman" w:hAnsi="Times New Roman" w:cs="Times New Roman"/>
          <w:b/>
          <w:sz w:val="20"/>
          <w:szCs w:val="20"/>
        </w:rPr>
        <w:t>Grief Crisis Condition</w:t>
      </w:r>
      <w:r w:rsidR="00380B1B" w:rsidRPr="00380B1B">
        <w:rPr>
          <w:rFonts w:ascii="Times New Roman" w:hAnsi="Times New Roman" w:cs="Times New Roman"/>
          <w:sz w:val="20"/>
          <w:szCs w:val="20"/>
        </w:rPr>
        <w:t xml:space="preserve"> </w:t>
      </w:r>
    </w:p>
    <w:p w14:paraId="2363B4A2" w14:textId="77777777" w:rsidR="00380B1B" w:rsidRDefault="00380B1B" w:rsidP="00380B1B">
      <w:pPr>
        <w:spacing w:before="240" w:after="240" w:line="240" w:lineRule="auto"/>
        <w:ind w:left="0" w:right="403"/>
        <w:rPr>
          <w:rFonts w:ascii="Times New Roman" w:hAnsi="Times New Roman" w:cs="Times New Roman"/>
          <w:sz w:val="20"/>
          <w:szCs w:val="20"/>
        </w:rPr>
      </w:pPr>
    </w:p>
    <w:p w14:paraId="35F9E07A" w14:textId="2616A4B8" w:rsidR="00380B1B" w:rsidRDefault="00380B1B" w:rsidP="00380B1B">
      <w:pPr>
        <w:spacing w:before="240" w:after="240" w:line="240" w:lineRule="auto"/>
        <w:ind w:left="0" w:right="403"/>
        <w:rPr>
          <w:rFonts w:ascii="Times New Roman" w:hAnsi="Times New Roman" w:cs="Times New Roman"/>
          <w:sz w:val="20"/>
          <w:szCs w:val="20"/>
        </w:rPr>
      </w:pPr>
      <w:r>
        <w:rPr>
          <w:noProof/>
        </w:rPr>
        <w:drawing>
          <wp:anchor distT="0" distB="0" distL="114300" distR="114300" simplePos="0" relativeHeight="251666432" behindDoc="0" locked="0" layoutInCell="1" allowOverlap="1" wp14:anchorId="6189EA48" wp14:editId="4E38C913">
            <wp:simplePos x="0" y="0"/>
            <wp:positionH relativeFrom="column">
              <wp:posOffset>623901</wp:posOffset>
            </wp:positionH>
            <wp:positionV relativeFrom="paragraph">
              <wp:posOffset>177800</wp:posOffset>
            </wp:positionV>
            <wp:extent cx="4129405" cy="2181860"/>
            <wp:effectExtent l="0" t="0" r="4445"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5658" t="16147" r="22287" b="16229"/>
                    <a:stretch/>
                  </pic:blipFill>
                  <pic:spPr bwMode="auto">
                    <a:xfrm>
                      <a:off x="0" y="0"/>
                      <a:ext cx="4129405" cy="2181860"/>
                    </a:xfrm>
                    <a:prstGeom prst="rect">
                      <a:avLst/>
                    </a:prstGeom>
                    <a:noFill/>
                    <a:ln>
                      <a:noFill/>
                    </a:ln>
                    <a:extLst>
                      <a:ext uri="{53640926-AAD7-44D8-BBD7-CCE9431645EC}">
                        <a14:shadowObscured xmlns:a14="http://schemas.microsoft.com/office/drawing/2010/main"/>
                      </a:ext>
                    </a:extLst>
                  </pic:spPr>
                </pic:pic>
              </a:graphicData>
            </a:graphic>
          </wp:anchor>
        </w:drawing>
      </w:r>
    </w:p>
    <w:p w14:paraId="2489B782" w14:textId="77777777" w:rsidR="00380B1B" w:rsidRDefault="00380B1B" w:rsidP="00380B1B">
      <w:pPr>
        <w:spacing w:before="240" w:after="240" w:line="240" w:lineRule="auto"/>
        <w:ind w:left="0" w:right="403"/>
        <w:jc w:val="center"/>
        <w:rPr>
          <w:rFonts w:ascii="Times New Roman" w:eastAsia="Times New Roman" w:hAnsi="Times New Roman" w:cs="Times New Roman"/>
          <w:sz w:val="20"/>
          <w:szCs w:val="20"/>
        </w:rPr>
      </w:pPr>
      <w:r>
        <w:rPr>
          <w:noProof/>
        </w:rPr>
        <w:drawing>
          <wp:anchor distT="0" distB="0" distL="114300" distR="114300" simplePos="0" relativeHeight="251667456" behindDoc="0" locked="0" layoutInCell="1" allowOverlap="1" wp14:anchorId="72E90F17" wp14:editId="5ACB271F">
            <wp:simplePos x="0" y="0"/>
            <wp:positionH relativeFrom="column">
              <wp:posOffset>404495</wp:posOffset>
            </wp:positionH>
            <wp:positionV relativeFrom="paragraph">
              <wp:posOffset>2412365</wp:posOffset>
            </wp:positionV>
            <wp:extent cx="4954905" cy="231902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2917" t="12795" r="10627" b="15316"/>
                    <a:stretch/>
                  </pic:blipFill>
                  <pic:spPr bwMode="auto">
                    <a:xfrm>
                      <a:off x="0" y="0"/>
                      <a:ext cx="4954905" cy="231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1AC1">
        <w:rPr>
          <w:rFonts w:ascii="Times New Roman" w:hAnsi="Times New Roman" w:cs="Times New Roman"/>
          <w:sz w:val="20"/>
          <w:szCs w:val="20"/>
        </w:rPr>
        <w:t>Figure 1. Respondents' relationships with deceased relatives</w:t>
      </w:r>
      <w:bookmarkStart w:id="14" w:name="_Hlk183361530"/>
      <w:r w:rsidR="00640082" w:rsidRPr="00591AC1">
        <w:rPr>
          <w:rFonts w:ascii="Times New Roman" w:eastAsia="Times New Roman" w:hAnsi="Times New Roman" w:cs="Times New Roman"/>
          <w:sz w:val="20"/>
          <w:szCs w:val="20"/>
        </w:rPr>
        <w:t xml:space="preserve">Figure </w:t>
      </w:r>
    </w:p>
    <w:p w14:paraId="1CD84095" w14:textId="7A1F799F" w:rsidR="00640082" w:rsidRDefault="00640082" w:rsidP="00380B1B">
      <w:pPr>
        <w:spacing w:before="240" w:after="240" w:line="240" w:lineRule="auto"/>
        <w:ind w:left="0" w:right="403"/>
        <w:jc w:val="center"/>
        <w:rPr>
          <w:rFonts w:ascii="Times New Roman" w:eastAsia="Times New Roman" w:hAnsi="Times New Roman" w:cs="Times New Roman"/>
          <w:sz w:val="20"/>
          <w:szCs w:val="20"/>
        </w:rPr>
        <w:sectPr w:rsidR="00640082" w:rsidSect="00BA3ACB">
          <w:type w:val="continuous"/>
          <w:pgSz w:w="11909" w:h="16834"/>
          <w:pgMar w:top="1440" w:right="1440" w:bottom="1440" w:left="1440" w:header="720" w:footer="720" w:gutter="0"/>
          <w:pgNumType w:start="25"/>
          <w:cols w:space="285"/>
        </w:sectPr>
      </w:pPr>
      <w:r w:rsidRPr="00591AC1">
        <w:rPr>
          <w:rFonts w:ascii="Times New Roman" w:eastAsia="Times New Roman" w:hAnsi="Times New Roman" w:cs="Times New Roman"/>
          <w:sz w:val="20"/>
          <w:szCs w:val="20"/>
        </w:rPr>
        <w:t xml:space="preserve">2. Length of time respondents remember their deceased loved </w:t>
      </w:r>
      <w:r>
        <w:rPr>
          <w:rFonts w:ascii="Times New Roman" w:eastAsia="Times New Roman" w:hAnsi="Times New Roman" w:cs="Times New Roman"/>
          <w:sz w:val="20"/>
          <w:szCs w:val="20"/>
        </w:rPr>
        <w:t>ones</w:t>
      </w:r>
    </w:p>
    <w:bookmarkEnd w:id="13"/>
    <w:bookmarkEnd w:id="14"/>
    <w:p w14:paraId="2F325937" w14:textId="77777777" w:rsidR="00640082" w:rsidRPr="00DE147E" w:rsidRDefault="00640082" w:rsidP="00A76FFE">
      <w:pPr>
        <w:tabs>
          <w:tab w:val="left" w:pos="567"/>
        </w:tabs>
        <w:spacing w:before="240" w:after="240" w:line="240" w:lineRule="auto"/>
        <w:ind w:left="709" w:firstLine="709"/>
        <w:rPr>
          <w:rFonts w:ascii="Times New Roman" w:eastAsia="Times New Roman" w:hAnsi="Times New Roman" w:cs="Times New Roman"/>
          <w:sz w:val="20"/>
          <w:szCs w:val="20"/>
        </w:rPr>
        <w:sectPr w:rsidR="00640082" w:rsidRPr="00DE147E" w:rsidSect="001E5818">
          <w:type w:val="continuous"/>
          <w:pgSz w:w="11909" w:h="16834"/>
          <w:pgMar w:top="1440" w:right="1440" w:bottom="1440" w:left="1440" w:header="720" w:footer="720" w:gutter="0"/>
          <w:pgNumType w:start="44"/>
          <w:cols w:space="720"/>
        </w:sectPr>
      </w:pPr>
      <w:r w:rsidRPr="00214861">
        <w:rPr>
          <w:rFonts w:ascii="Times New Roman" w:eastAsia="Times New Roman" w:hAnsi="Times New Roman" w:cs="Times New Roman"/>
          <w:sz w:val="20"/>
          <w:szCs w:val="20"/>
        </w:rPr>
        <w:t>Based on Figure 1, 56.7% of respondents (17 people) used AI such as ChatGPT and Deepfake to remember grandparents. Meanwhile, 23.3% (7 people) used it to remember fathers, 13.3% (4 people) to remember friends, and the remaining 6.7% (2 people) used ChatGPT or Deepfake to remember mothers. The data from 30 respondents shown in Figure 2 shows that 40% of respondents (12 people) think about or remember their closest deceased relative several times a month. The total number of respondents who think about or remember their deceased loved one several times a week was 30% (9 people). Meanwhile, 23.3% (7 people) thought about or remembered them several times a day. The remaining 6.7% (2 people) thought about or remembered them several times a year. The results of this study support the view that the phenomenon of individuals who, in all their duration or daily activities, including when in a state of grief crisis, cannot be separated from the role of social media interaction. They externalise, objectify and internalise reality based on mass media references (Hadiwijaya, 2023). In other words, the use of AI in the grieving process or period shows how technology can shape a person's meaning and experience of the death of a loved one</w:t>
      </w:r>
      <w:bookmarkEnd w:id="12"/>
      <w:r>
        <w:rPr>
          <w:rFonts w:ascii="Times New Roman" w:eastAsia="Times New Roman" w:hAnsi="Times New Roman" w:cs="Times New Roman"/>
          <w:sz w:val="20"/>
          <w:szCs w:val="20"/>
        </w:rPr>
        <w:t>.</w:t>
      </w:r>
    </w:p>
    <w:p w14:paraId="39955897" w14:textId="77777777" w:rsidR="00640082" w:rsidRPr="00DB4818" w:rsidRDefault="00640082" w:rsidP="00D161FE">
      <w:pPr>
        <w:spacing w:before="240" w:after="240" w:line="240" w:lineRule="auto"/>
        <w:ind w:left="708"/>
        <w:jc w:val="center"/>
      </w:pPr>
      <w:r>
        <w:rPr>
          <w:noProof/>
        </w:rPr>
        <mc:AlternateContent>
          <mc:Choice Requires="wps">
            <w:drawing>
              <wp:anchor distT="0" distB="0" distL="114300" distR="114300" simplePos="0" relativeHeight="251661312" behindDoc="1" locked="0" layoutInCell="1" allowOverlap="1" wp14:anchorId="583A88AD" wp14:editId="589A3B46">
                <wp:simplePos x="0" y="0"/>
                <wp:positionH relativeFrom="column">
                  <wp:posOffset>5790565</wp:posOffset>
                </wp:positionH>
                <wp:positionV relativeFrom="paragraph">
                  <wp:posOffset>736927</wp:posOffset>
                </wp:positionV>
                <wp:extent cx="363794" cy="344129"/>
                <wp:effectExtent l="0" t="0" r="0" b="0"/>
                <wp:wrapNone/>
                <wp:docPr id="3" name="Text Box 3"/>
                <wp:cNvGraphicFramePr/>
                <a:graphic xmlns:a="http://schemas.openxmlformats.org/drawingml/2006/main">
                  <a:graphicData uri="http://schemas.microsoft.com/office/word/2010/wordprocessingShape">
                    <wps:wsp>
                      <wps:cNvSpPr txBox="1"/>
                      <wps:spPr>
                        <a:xfrm>
                          <a:off x="0" y="0"/>
                          <a:ext cx="363794" cy="344129"/>
                        </a:xfrm>
                        <a:prstGeom prst="rect">
                          <a:avLst/>
                        </a:prstGeom>
                        <a:solidFill>
                          <a:schemeClr val="lt1"/>
                        </a:solidFill>
                        <a:ln w="6350">
                          <a:noFill/>
                        </a:ln>
                      </wps:spPr>
                      <wps:txbx>
                        <w:txbxContent>
                          <w:p w14:paraId="36590A05" w14:textId="77777777" w:rsidR="00640082" w:rsidRPr="00631DF8" w:rsidRDefault="00640082">
                            <w:pPr>
                              <w:rPr>
                                <w:sz w:val="28"/>
                                <w:szCs w:val="28"/>
                              </w:rPr>
                            </w:pPr>
                            <w:r w:rsidRPr="00631DF8">
                              <w:rPr>
                                <w:sz w:val="28"/>
                                <w:szCs w:val="2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A88AD" id="_x0000_t202" coordsize="21600,21600" o:spt="202" path="m,l,21600r21600,l21600,xe">
                <v:stroke joinstyle="miter"/>
                <v:path gradientshapeok="t" o:connecttype="rect"/>
              </v:shapetype>
              <v:shape id="Text Box 3" o:spid="_x0000_s1026" type="#_x0000_t202" style="position:absolute;left:0;text-align:left;margin-left:455.95pt;margin-top:58.05pt;width:28.65pt;height:2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" fillcolor="white [3201]" stroked="f" strokeweight=".5pt">
                <v:textbox>
                  <w:txbxContent>
                    <w:p w14:paraId="36590A05" w14:textId="77777777" w:rsidR="00640082" w:rsidRPr="00631DF8" w:rsidRDefault="00640082">
                      <w:pPr>
                        <w:rPr>
                          <w:sz w:val="28"/>
                          <w:szCs w:val="28"/>
                        </w:rPr>
                      </w:pPr>
                      <w:r w:rsidRPr="00631DF8">
                        <w:rPr>
                          <w:sz w:val="28"/>
                          <w:szCs w:val="28"/>
                        </w:rPr>
                        <w:t>g</w:t>
                      </w:r>
                    </w:p>
                  </w:txbxContent>
                </v:textbox>
              </v:shape>
            </w:pict>
          </mc:Fallback>
        </mc:AlternateContent>
      </w:r>
      <w:r>
        <w:rPr>
          <w:noProof/>
        </w:rPr>
        <w:drawing>
          <wp:inline distT="0" distB="0" distL="0" distR="0" wp14:anchorId="2FE0D1E2" wp14:editId="5EE0A2B1">
            <wp:extent cx="5427406" cy="221170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4802" t="16147" r="515" b="15316"/>
                    <a:stretch/>
                  </pic:blipFill>
                  <pic:spPr bwMode="auto">
                    <a:xfrm>
                      <a:off x="0" y="0"/>
                      <a:ext cx="5428608" cy="2212195"/>
                    </a:xfrm>
                    <a:prstGeom prst="rect">
                      <a:avLst/>
                    </a:prstGeom>
                    <a:noFill/>
                    <a:ln>
                      <a:noFill/>
                    </a:ln>
                    <a:extLst>
                      <a:ext uri="{53640926-AAD7-44D8-BBD7-CCE9431645EC}">
                        <a14:shadowObscured xmlns:a14="http://schemas.microsoft.com/office/drawing/2010/main"/>
                      </a:ext>
                    </a:extLst>
                  </pic:spPr>
                </pic:pic>
              </a:graphicData>
            </a:graphic>
          </wp:inline>
        </w:drawing>
      </w:r>
      <w:r w:rsidRPr="00DB4818">
        <w:rPr>
          <w:rFonts w:ascii="Times New Roman" w:hAnsi="Times New Roman" w:cs="Times New Roman"/>
          <w:sz w:val="20"/>
          <w:szCs w:val="20"/>
        </w:rPr>
        <w:t>Figure 3. Conditions that remind respondents of their deceased loved ones</w:t>
      </w:r>
    </w:p>
    <w:p w14:paraId="317468E1" w14:textId="77777777" w:rsidR="00640082" w:rsidRPr="00D161FE" w:rsidRDefault="00640082" w:rsidP="00D161FE">
      <w:pPr>
        <w:spacing w:before="240" w:after="240" w:line="240" w:lineRule="auto"/>
        <w:ind w:left="709"/>
        <w:jc w:val="center"/>
        <w:rPr>
          <w:color w:val="FF0000"/>
        </w:rPr>
        <w:sectPr w:rsidR="00640082" w:rsidRPr="00D161FE" w:rsidSect="00BA3ACB">
          <w:type w:val="continuous"/>
          <w:pgSz w:w="11909" w:h="16834"/>
          <w:pgMar w:top="1440" w:right="1440" w:bottom="1440" w:left="1440" w:header="720" w:footer="720" w:gutter="0"/>
          <w:pgNumType w:start="26"/>
          <w:cols w:space="285"/>
        </w:sectPr>
      </w:pPr>
      <w:r>
        <w:rPr>
          <w:noProof/>
        </w:rPr>
        <mc:AlternateContent>
          <mc:Choice Requires="wps">
            <w:drawing>
              <wp:anchor distT="0" distB="0" distL="114300" distR="114300" simplePos="0" relativeHeight="251660288" behindDoc="0" locked="0" layoutInCell="1" allowOverlap="1" wp14:anchorId="6ACE471A" wp14:editId="068A9261">
                <wp:simplePos x="0" y="0"/>
                <wp:positionH relativeFrom="column">
                  <wp:posOffset>1877961</wp:posOffset>
                </wp:positionH>
                <wp:positionV relativeFrom="paragraph">
                  <wp:posOffset>734490</wp:posOffset>
                </wp:positionV>
                <wp:extent cx="707861" cy="284808"/>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707861" cy="284808"/>
                        </a:xfrm>
                        <a:prstGeom prst="rect">
                          <a:avLst/>
                        </a:prstGeom>
                        <a:noFill/>
                        <a:ln w="6350">
                          <a:noFill/>
                        </a:ln>
                      </wps:spPr>
                      <wps:txbx>
                        <w:txbxContent>
                          <w:p w14:paraId="522E6CAB" w14:textId="77777777" w:rsidR="00640082" w:rsidRPr="003C6F96" w:rsidRDefault="00640082" w:rsidP="003C6F96">
                            <w:pPr>
                              <w:jc w:val="center"/>
                              <w:rPr>
                                <w:rFonts w:ascii="Times New Roman" w:hAnsi="Times New Roman" w:cs="Times New Roman"/>
                                <w:color w:val="FFFFFF" w:themeColor="background1"/>
                                <w:sz w:val="28"/>
                                <w:szCs w:val="28"/>
                              </w:rPr>
                            </w:pPr>
                            <w:r w:rsidRPr="003C6F96">
                              <w:rPr>
                                <w:rFonts w:ascii="Times New Roman" w:hAnsi="Times New Roman" w:cs="Times New Roman"/>
                                <w:color w:val="FFFFFF" w:themeColor="background1"/>
                                <w:sz w:val="28"/>
                                <w:szCs w:val="28"/>
                              </w:rPr>
                              <w:t>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CE471A" id="Text Box 2" o:spid="_x0000_s1027" type="#_x0000_t202" style="position:absolute;left:0;text-align:left;margin-left:147.85pt;margin-top:57.85pt;width:55.75pt;height:22.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" filled="f" stroked="f" strokeweight=".5pt">
                <v:textbox>
                  <w:txbxContent>
                    <w:p w14:paraId="522E6CAB" w14:textId="77777777" w:rsidR="00640082" w:rsidRPr="003C6F96" w:rsidRDefault="00640082" w:rsidP="003C6F96">
                      <w:pPr>
                        <w:jc w:val="center"/>
                        <w:rPr>
                          <w:rFonts w:ascii="Times New Roman" w:hAnsi="Times New Roman" w:cs="Times New Roman"/>
                          <w:color w:val="FFFFFF" w:themeColor="background1"/>
                          <w:sz w:val="28"/>
                          <w:szCs w:val="28"/>
                        </w:rPr>
                      </w:pPr>
                      <w:r w:rsidRPr="003C6F96">
                        <w:rPr>
                          <w:rFonts w:ascii="Times New Roman" w:hAnsi="Times New Roman" w:cs="Times New Roman"/>
                          <w:color w:val="FFFFFF" w:themeColor="background1"/>
                          <w:sz w:val="28"/>
                          <w:szCs w:val="28"/>
                        </w:rPr>
                        <w:t>16,5%</w:t>
                      </w:r>
                    </w:p>
                  </w:txbxContent>
                </v:textbox>
              </v:shape>
            </w:pict>
          </mc:Fallback>
        </mc:AlternateContent>
      </w:r>
      <w:r>
        <w:rPr>
          <w:noProof/>
        </w:rPr>
        <w:drawing>
          <wp:anchor distT="0" distB="0" distL="114300" distR="114300" simplePos="0" relativeHeight="251659264" behindDoc="0" locked="0" layoutInCell="1" allowOverlap="1" wp14:anchorId="0D1E564D" wp14:editId="5FE19140">
            <wp:simplePos x="0" y="0"/>
            <wp:positionH relativeFrom="column">
              <wp:posOffset>2025445</wp:posOffset>
            </wp:positionH>
            <wp:positionV relativeFrom="paragraph">
              <wp:posOffset>724658</wp:posOffset>
            </wp:positionV>
            <wp:extent cx="539750" cy="29464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l="29865" t="29659" r="60647" b="61144"/>
                    <a:stretch/>
                  </pic:blipFill>
                  <pic:spPr bwMode="auto">
                    <a:xfrm>
                      <a:off x="0" y="0"/>
                      <a:ext cx="5397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B8E36D0" wp14:editId="49D9BF59">
            <wp:extent cx="5456903" cy="237859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l="2574" t="13710" r="2220" b="12574"/>
                    <a:stretch/>
                  </pic:blipFill>
                  <pic:spPr bwMode="auto">
                    <a:xfrm>
                      <a:off x="0" y="0"/>
                      <a:ext cx="5458567" cy="2379320"/>
                    </a:xfrm>
                    <a:prstGeom prst="rect">
                      <a:avLst/>
                    </a:prstGeom>
                    <a:noFill/>
                    <a:ln>
                      <a:noFill/>
                    </a:ln>
                    <a:extLst>
                      <a:ext uri="{53640926-AAD7-44D8-BBD7-CCE9431645EC}">
                        <a14:shadowObscured xmlns:a14="http://schemas.microsoft.com/office/drawing/2010/main"/>
                      </a:ext>
                    </a:extLst>
                  </pic:spPr>
                </pic:pic>
              </a:graphicData>
            </a:graphic>
          </wp:inline>
        </w:drawing>
      </w:r>
      <w:r w:rsidRPr="00B93F3F">
        <w:rPr>
          <w:rFonts w:ascii="Times New Roman" w:eastAsia="Times New Roman" w:hAnsi="Times New Roman" w:cs="Times New Roman"/>
          <w:sz w:val="20"/>
          <w:szCs w:val="20"/>
        </w:rPr>
        <w:t>Figure 4.</w:t>
      </w:r>
      <w:r w:rsidRPr="00B93F3F">
        <w:t xml:space="preserve"> </w:t>
      </w:r>
      <w:r w:rsidRPr="00B93F3F">
        <w:rPr>
          <w:rFonts w:ascii="Times New Roman" w:eastAsia="Times New Roman" w:hAnsi="Times New Roman" w:cs="Times New Roman"/>
          <w:sz w:val="20"/>
          <w:szCs w:val="20"/>
        </w:rPr>
        <w:t>Activities that respondents do when remembering their deceased loved ones</w:t>
      </w:r>
    </w:p>
    <w:p w14:paraId="59E85947" w14:textId="77777777" w:rsidR="00640082" w:rsidRDefault="00640082" w:rsidP="00A76FFE">
      <w:pPr>
        <w:spacing w:before="240" w:after="240" w:line="240" w:lineRule="auto"/>
        <w:ind w:left="709" w:firstLine="709"/>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Looking at the different aspects or moments experienced by the respondents, there are several aspects that can stimulate their memories of the deceased (see Figure 3). A total of 46.7% (14 people) remember or think about them when they are alone, 16.7% (4 people) when they see objects that belonged to their deceased loved one, 20% (6 people) on special days such as holidays, Mother's Day, or days with special memories, and another 16.</w:t>
      </w:r>
      <w:r>
        <w:rPr>
          <w:rFonts w:ascii="Times New Roman" w:eastAsia="Times New Roman" w:hAnsi="Times New Roman" w:cs="Times New Roman"/>
          <w:sz w:val="20"/>
          <w:szCs w:val="20"/>
        </w:rPr>
        <w:t>6</w:t>
      </w:r>
      <w:r w:rsidRPr="007E4B2A">
        <w:rPr>
          <w:rFonts w:ascii="Times New Roman" w:eastAsia="Times New Roman" w:hAnsi="Times New Roman" w:cs="Times New Roman"/>
          <w:sz w:val="20"/>
          <w:szCs w:val="20"/>
        </w:rPr>
        <w:t>% (5 people) at various specific moments, such as during worship, in a special place with the person, and so on. Figure 4 also shows that the majority of respondents, 17 people (56.7%), feel homesick or miss their deceased loved one when looking back at their photos and videos. In addition, 23.3% (7 people) visit graves and make pilgrimages to feel closer to the deceased. Another 16.5% (5 people) engage in spiritual activities such as praying or sending prayers. This shows that everyone has their own way of expressing their feelings of longing. Research by Dwiartyani et al (2021) also mentions the differences that exist in each person in terms of keeping memories with the closest person who has died, such as talking about homesickness with relatives or talking about the behaviour of the closest person during their lifetime with relatives</w:t>
      </w:r>
      <w:r>
        <w:rPr>
          <w:rFonts w:ascii="Times New Roman" w:eastAsia="Times New Roman" w:hAnsi="Times New Roman" w:cs="Times New Roman"/>
          <w:sz w:val="20"/>
          <w:szCs w:val="20"/>
        </w:rPr>
        <w:t>.</w:t>
      </w:r>
    </w:p>
    <w:p w14:paraId="41B5D4F4" w14:textId="77777777" w:rsidR="00640082" w:rsidRPr="007E4B2A" w:rsidRDefault="00640082" w:rsidP="007E4B2A">
      <w:pPr>
        <w:spacing w:after="200" w:line="240" w:lineRule="auto"/>
        <w:ind w:left="717"/>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3.3 </w:t>
      </w:r>
      <w:r w:rsidRPr="007E4B2A">
        <w:rPr>
          <w:rFonts w:ascii="Times New Roman" w:eastAsia="Times New Roman" w:hAnsi="Times New Roman" w:cs="Times New Roman"/>
          <w:b/>
          <w:bCs/>
          <w:sz w:val="20"/>
          <w:szCs w:val="20"/>
        </w:rPr>
        <w:t xml:space="preserve">Using AI in the </w:t>
      </w:r>
      <w:r>
        <w:rPr>
          <w:rFonts w:ascii="Times New Roman" w:eastAsia="Times New Roman" w:hAnsi="Times New Roman" w:cs="Times New Roman"/>
          <w:b/>
          <w:bCs/>
          <w:sz w:val="20"/>
          <w:szCs w:val="20"/>
        </w:rPr>
        <w:t>G</w:t>
      </w:r>
      <w:r w:rsidRPr="007E4B2A">
        <w:rPr>
          <w:rFonts w:ascii="Times New Roman" w:eastAsia="Times New Roman" w:hAnsi="Times New Roman" w:cs="Times New Roman"/>
          <w:b/>
          <w:bCs/>
          <w:sz w:val="20"/>
          <w:szCs w:val="20"/>
        </w:rPr>
        <w:t xml:space="preserve">rief </w:t>
      </w:r>
      <w:r>
        <w:rPr>
          <w:rFonts w:ascii="Times New Roman" w:eastAsia="Times New Roman" w:hAnsi="Times New Roman" w:cs="Times New Roman"/>
          <w:b/>
          <w:bCs/>
          <w:sz w:val="20"/>
          <w:szCs w:val="20"/>
        </w:rPr>
        <w:t>C</w:t>
      </w:r>
      <w:r w:rsidRPr="007E4B2A">
        <w:rPr>
          <w:rFonts w:ascii="Times New Roman" w:eastAsia="Times New Roman" w:hAnsi="Times New Roman" w:cs="Times New Roman"/>
          <w:b/>
          <w:bCs/>
          <w:sz w:val="20"/>
          <w:szCs w:val="20"/>
        </w:rPr>
        <w:t>risis</w:t>
      </w:r>
    </w:p>
    <w:p w14:paraId="77B77E83" w14:textId="77777777" w:rsidR="00640082" w:rsidRDefault="00640082" w:rsidP="00A76FFE">
      <w:pPr>
        <w:spacing w:before="240" w:after="240" w:line="240" w:lineRule="auto"/>
        <w:ind w:left="709" w:firstLine="709"/>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People today are very dependent on technology, it cannot be denied how many roles technology plays in everyday life. Artificial intelligence is one of the new breakthroughs that is very popular, one of which is being used to overcome grief crisis. Based on a survey of 30 respondents in Figure 5, 76.7% (23 people) used ChatGPT to interact with deceased loved ones, 10% (3 people) used Deepfake and 13.3% (4 people) used both. The majority of respondents (73.3% or 22 people), as shown in Figure 6, prefer ChatGPT because it is easy to use and responsive. They often use ChatGPT to tell stories or vent. 20% (6 people) asked for advice and 6.7% (2 people) used Deepfake to create visual or audio content</w:t>
      </w:r>
      <w:r>
        <w:rPr>
          <w:rFonts w:ascii="Times New Roman" w:eastAsia="Times New Roman" w:hAnsi="Times New Roman" w:cs="Times New Roman"/>
          <w:sz w:val="20"/>
          <w:szCs w:val="20"/>
        </w:rPr>
        <w:t>.</w:t>
      </w:r>
    </w:p>
    <w:p w14:paraId="557D5AAE" w14:textId="77777777" w:rsidR="00640082" w:rsidRDefault="00640082">
      <w:pPr>
        <w:spacing w:before="240" w:after="240" w:line="240" w:lineRule="auto"/>
        <w:ind w:left="708"/>
        <w:rPr>
          <w:rFonts w:ascii="Times New Roman" w:eastAsia="Times New Roman" w:hAnsi="Times New Roman" w:cs="Times New Roman"/>
          <w:color w:val="FF0000"/>
          <w:sz w:val="20"/>
          <w:szCs w:val="20"/>
        </w:rPr>
        <w:sectPr w:rsidR="00640082" w:rsidSect="001E5818">
          <w:type w:val="continuous"/>
          <w:pgSz w:w="11909" w:h="16834"/>
          <w:pgMar w:top="1440" w:right="1440" w:bottom="1440" w:left="1440" w:header="720" w:footer="720" w:gutter="0"/>
          <w:pgNumType w:start="45"/>
          <w:cols w:space="720"/>
        </w:sectPr>
      </w:pPr>
    </w:p>
    <w:p w14:paraId="450C9F0D" w14:textId="77777777" w:rsidR="00640082" w:rsidRDefault="00640082" w:rsidP="00982983">
      <w:pPr>
        <w:spacing w:before="240" w:after="240" w:line="240" w:lineRule="auto"/>
        <w:ind w:left="708"/>
        <w:jc w:val="center"/>
        <w:rPr>
          <w:rFonts w:ascii="Times New Roman" w:eastAsia="Times New Roman" w:hAnsi="Times New Roman" w:cs="Times New Roman"/>
          <w:color w:val="FF0000"/>
          <w:sz w:val="20"/>
          <w:szCs w:val="20"/>
        </w:rPr>
      </w:pPr>
      <w:r>
        <w:rPr>
          <w:noProof/>
        </w:rPr>
        <w:drawing>
          <wp:inline distT="0" distB="0" distL="0" distR="0" wp14:anchorId="418EA7DA" wp14:editId="18CA2CF7">
            <wp:extent cx="3666490" cy="227025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l="4631" t="14932" r="31396" b="14706"/>
                    <a:stretch/>
                  </pic:blipFill>
                  <pic:spPr bwMode="auto">
                    <a:xfrm>
                      <a:off x="0" y="0"/>
                      <a:ext cx="3667818" cy="2271076"/>
                    </a:xfrm>
                    <a:prstGeom prst="rect">
                      <a:avLst/>
                    </a:prstGeom>
                    <a:noFill/>
                    <a:ln>
                      <a:noFill/>
                    </a:ln>
                    <a:extLst>
                      <a:ext uri="{53640926-AAD7-44D8-BBD7-CCE9431645EC}">
                        <a14:shadowObscured xmlns:a14="http://schemas.microsoft.com/office/drawing/2010/main"/>
                      </a:ext>
                    </a:extLst>
                  </pic:spPr>
                </pic:pic>
              </a:graphicData>
            </a:graphic>
          </wp:inline>
        </w:drawing>
      </w:r>
    </w:p>
    <w:p w14:paraId="103E8766" w14:textId="77777777" w:rsidR="00640082" w:rsidRDefault="00640082" w:rsidP="00982983">
      <w:pPr>
        <w:spacing w:before="240" w:after="240" w:line="240" w:lineRule="auto"/>
        <w:ind w:left="708"/>
        <w:jc w:val="center"/>
        <w:rPr>
          <w:rFonts w:ascii="Times New Roman" w:eastAsia="Times New Roman" w:hAnsi="Times New Roman" w:cs="Times New Roman"/>
          <w:color w:val="FF0000"/>
          <w:sz w:val="20"/>
          <w:szCs w:val="20"/>
        </w:rPr>
      </w:pPr>
      <w:r w:rsidRPr="00F678CA">
        <w:rPr>
          <w:rFonts w:ascii="Times New Roman" w:eastAsia="Times New Roman" w:hAnsi="Times New Roman" w:cs="Times New Roman"/>
          <w:sz w:val="20"/>
          <w:szCs w:val="20"/>
        </w:rPr>
        <w:t xml:space="preserve">Figure 5. </w:t>
      </w:r>
      <w:r w:rsidRPr="00252E01">
        <w:rPr>
          <w:rFonts w:ascii="Times New Roman" w:eastAsia="Times New Roman" w:hAnsi="Times New Roman" w:cs="Times New Roman"/>
          <w:sz w:val="20"/>
          <w:szCs w:val="20"/>
        </w:rPr>
        <w:t>Type of AI often used</w:t>
      </w:r>
    </w:p>
    <w:p w14:paraId="49DD0715" w14:textId="77777777" w:rsidR="00640082" w:rsidRPr="00B830E7" w:rsidRDefault="00640082" w:rsidP="00982983">
      <w:pPr>
        <w:spacing w:before="240" w:after="240" w:line="240" w:lineRule="auto"/>
        <w:ind w:left="708"/>
        <w:jc w:val="center"/>
        <w:rPr>
          <w:rFonts w:ascii="Times New Roman" w:eastAsia="Times New Roman" w:hAnsi="Times New Roman" w:cs="Times New Roman"/>
          <w:color w:val="FF0000"/>
          <w:sz w:val="20"/>
          <w:szCs w:val="20"/>
        </w:rPr>
        <w:sectPr w:rsidR="00640082" w:rsidRPr="00B830E7" w:rsidSect="00BA3ACB">
          <w:type w:val="continuous"/>
          <w:pgSz w:w="11909" w:h="16834"/>
          <w:pgMar w:top="1440" w:right="1440" w:bottom="1440" w:left="1440" w:header="720" w:footer="720" w:gutter="0"/>
          <w:pgNumType w:start="27"/>
          <w:cols w:space="720"/>
        </w:sectPr>
      </w:pPr>
      <w:r>
        <w:rPr>
          <w:noProof/>
        </w:rPr>
        <w:drawing>
          <wp:inline distT="0" distB="0" distL="0" distR="0" wp14:anchorId="1F2BC03F" wp14:editId="6C7AF36C">
            <wp:extent cx="5417226" cy="21723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l="5489" t="17058" b="15620"/>
                    <a:stretch/>
                  </pic:blipFill>
                  <pic:spPr bwMode="auto">
                    <a:xfrm>
                      <a:off x="0" y="0"/>
                      <a:ext cx="5418697" cy="21729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0"/>
          <w:szCs w:val="20"/>
        </w:rPr>
        <w:t xml:space="preserve">Figure 6. </w:t>
      </w:r>
      <w:r w:rsidRPr="00252E01">
        <w:rPr>
          <w:rFonts w:ascii="Times New Roman" w:eastAsia="Times New Roman" w:hAnsi="Times New Roman" w:cs="Times New Roman"/>
          <w:sz w:val="20"/>
          <w:szCs w:val="20"/>
        </w:rPr>
        <w:t>The type of commands respondents give when using AI</w:t>
      </w:r>
    </w:p>
    <w:p w14:paraId="3F657EDB" w14:textId="77777777" w:rsidR="00640082" w:rsidRDefault="00640082" w:rsidP="00982983">
      <w:pPr>
        <w:spacing w:before="240" w:after="240" w:line="240" w:lineRule="auto"/>
        <w:ind w:left="708" w:right="326" w:firstLine="426"/>
        <w:jc w:val="center"/>
        <w:rPr>
          <w:rFonts w:ascii="Times New Roman" w:hAnsi="Times New Roman" w:cs="Times New Roman"/>
          <w:sz w:val="20"/>
          <w:szCs w:val="20"/>
        </w:rPr>
      </w:pPr>
      <w:r>
        <w:rPr>
          <w:noProof/>
        </w:rPr>
        <mc:AlternateContent>
          <mc:Choice Requires="wps">
            <w:drawing>
              <wp:anchor distT="0" distB="0" distL="114300" distR="114300" simplePos="0" relativeHeight="251663360" behindDoc="0" locked="0" layoutInCell="1" allowOverlap="1" wp14:anchorId="43D95B76" wp14:editId="0496A6FF">
                <wp:simplePos x="0" y="0"/>
                <wp:positionH relativeFrom="column">
                  <wp:posOffset>3752369</wp:posOffset>
                </wp:positionH>
                <wp:positionV relativeFrom="paragraph">
                  <wp:posOffset>917794</wp:posOffset>
                </wp:positionV>
                <wp:extent cx="207851" cy="209550"/>
                <wp:effectExtent l="0" t="0" r="20955" b="19050"/>
                <wp:wrapNone/>
                <wp:docPr id="5" name="Oval 5"/>
                <wp:cNvGraphicFramePr/>
                <a:graphic xmlns:a="http://schemas.openxmlformats.org/drawingml/2006/main">
                  <a:graphicData uri="http://schemas.microsoft.com/office/word/2010/wordprocessingShape">
                    <wps:wsp>
                      <wps:cNvSpPr/>
                      <wps:spPr>
                        <a:xfrm>
                          <a:off x="0" y="0"/>
                          <a:ext cx="207851" cy="209550"/>
                        </a:xfrm>
                        <a:prstGeom prst="ellipse">
                          <a:avLst/>
                        </a:prstGeom>
                        <a:solidFill>
                          <a:srgbClr val="7030A0"/>
                        </a:solidFill>
                        <a:ln>
                          <a:solidFill>
                            <a:srgbClr val="7030A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C293A" id="Oval 5" o:spid="_x0000_s1026" style="position:absolute;margin-left:295.45pt;margin-top:72.25pt;width:16.3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" fillcolor="#7030a0" strokecolor="#7030a0" strokeweight=".5pt">
                <v:stroke joinstyle="miter"/>
              </v:oval>
            </w:pict>
          </mc:Fallback>
        </mc:AlternateContent>
      </w:r>
      <w:r>
        <w:rPr>
          <w:noProof/>
        </w:rPr>
        <mc:AlternateContent>
          <mc:Choice Requires="wps">
            <w:drawing>
              <wp:anchor distT="0" distB="0" distL="114300" distR="114300" simplePos="0" relativeHeight="251662336" behindDoc="0" locked="0" layoutInCell="1" allowOverlap="1" wp14:anchorId="2291320C" wp14:editId="3739ACAF">
                <wp:simplePos x="0" y="0"/>
                <wp:positionH relativeFrom="column">
                  <wp:posOffset>3714750</wp:posOffset>
                </wp:positionH>
                <wp:positionV relativeFrom="paragraph">
                  <wp:posOffset>1513225</wp:posOffset>
                </wp:positionV>
                <wp:extent cx="1749773" cy="433234"/>
                <wp:effectExtent l="0" t="0" r="3175" b="5080"/>
                <wp:wrapNone/>
                <wp:docPr id="4" name="Rectangle 4"/>
                <wp:cNvGraphicFramePr/>
                <a:graphic xmlns:a="http://schemas.openxmlformats.org/drawingml/2006/main">
                  <a:graphicData uri="http://schemas.microsoft.com/office/word/2010/wordprocessingShape">
                    <wps:wsp>
                      <wps:cNvSpPr/>
                      <wps:spPr>
                        <a:xfrm>
                          <a:off x="0" y="0"/>
                          <a:ext cx="1749773" cy="433234"/>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24D09" id="Rectangle 4" o:spid="_x0000_s1026" style="position:absolute;margin-left:292.5pt;margin-top:119.15pt;width:137.8pt;height:3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" fillcolor="white [3212]" stroked="f" strokeweight=".5pt"/>
            </w:pict>
          </mc:Fallback>
        </mc:AlternateContent>
      </w:r>
      <w:r w:rsidRPr="00B830E7">
        <w:t xml:space="preserve"> </w:t>
      </w:r>
      <w:r>
        <w:t xml:space="preserve">             </w:t>
      </w:r>
      <w:r>
        <w:rPr>
          <w:noProof/>
        </w:rPr>
        <w:drawing>
          <wp:inline distT="0" distB="0" distL="0" distR="0" wp14:anchorId="3AA28380" wp14:editId="079B9BBF">
            <wp:extent cx="4090219" cy="2181616"/>
            <wp:effectExtent l="0" t="0" r="571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a:extLst>
                        <a:ext uri="{28A0092B-C50C-407E-A947-70E740481C1C}">
                          <a14:useLocalDpi xmlns:a14="http://schemas.microsoft.com/office/drawing/2010/main" val="0"/>
                        </a:ext>
                      </a:extLst>
                    </a:blip>
                    <a:srcRect l="4460" t="17060" r="24164" b="15317"/>
                    <a:stretch/>
                  </pic:blipFill>
                  <pic:spPr bwMode="auto">
                    <a:xfrm>
                      <a:off x="0" y="0"/>
                      <a:ext cx="4092243" cy="2182695"/>
                    </a:xfrm>
                    <a:prstGeom prst="rect">
                      <a:avLst/>
                    </a:prstGeom>
                    <a:noFill/>
                    <a:ln>
                      <a:noFill/>
                    </a:ln>
                    <a:extLst>
                      <a:ext uri="{53640926-AAD7-44D8-BBD7-CCE9431645EC}">
                        <a14:shadowObscured xmlns:a14="http://schemas.microsoft.com/office/drawing/2010/main"/>
                      </a:ext>
                    </a:extLst>
                  </pic:spPr>
                </pic:pic>
              </a:graphicData>
            </a:graphic>
          </wp:inline>
        </w:drawing>
      </w:r>
      <w:r w:rsidRPr="00B830E7">
        <w:rPr>
          <w:rFonts w:ascii="Times New Roman" w:hAnsi="Times New Roman" w:cs="Times New Roman"/>
          <w:sz w:val="20"/>
          <w:szCs w:val="20"/>
        </w:rPr>
        <w:t xml:space="preserve">Figure 7. </w:t>
      </w:r>
      <w:r w:rsidRPr="00252E01">
        <w:rPr>
          <w:rFonts w:ascii="Times New Roman" w:hAnsi="Times New Roman" w:cs="Times New Roman"/>
          <w:sz w:val="20"/>
          <w:szCs w:val="20"/>
        </w:rPr>
        <w:t>Respondents' sources of information related to the use of AI</w:t>
      </w:r>
    </w:p>
    <w:p w14:paraId="33C06350" w14:textId="77777777" w:rsidR="00640082" w:rsidRDefault="00640082" w:rsidP="00026727">
      <w:pPr>
        <w:spacing w:before="240" w:after="240" w:line="240" w:lineRule="auto"/>
        <w:ind w:right="32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noProof/>
        </w:rPr>
        <w:drawing>
          <wp:inline distT="0" distB="0" distL="0" distR="0" wp14:anchorId="77B2A47B" wp14:editId="1B5D086F">
            <wp:extent cx="3745166" cy="21031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a:extLst>
                        <a:ext uri="{28A0092B-C50C-407E-A947-70E740481C1C}">
                          <a14:useLocalDpi xmlns:a14="http://schemas.microsoft.com/office/drawing/2010/main" val="0"/>
                        </a:ext>
                      </a:extLst>
                    </a:blip>
                    <a:srcRect l="5833" t="18284" r="28821" b="16534"/>
                    <a:stretch/>
                  </pic:blipFill>
                  <pic:spPr bwMode="auto">
                    <a:xfrm>
                      <a:off x="0" y="0"/>
                      <a:ext cx="3746562" cy="2103884"/>
                    </a:xfrm>
                    <a:prstGeom prst="rect">
                      <a:avLst/>
                    </a:prstGeom>
                    <a:noFill/>
                    <a:ln>
                      <a:noFill/>
                    </a:ln>
                    <a:extLst>
                      <a:ext uri="{53640926-AAD7-44D8-BBD7-CCE9431645EC}">
                        <a14:shadowObscured xmlns:a14="http://schemas.microsoft.com/office/drawing/2010/main"/>
                      </a:ext>
                    </a:extLst>
                  </pic:spPr>
                </pic:pic>
              </a:graphicData>
            </a:graphic>
          </wp:inline>
        </w:drawing>
      </w:r>
    </w:p>
    <w:p w14:paraId="76AEC009" w14:textId="77777777" w:rsidR="00640082" w:rsidRPr="00982983" w:rsidRDefault="00640082" w:rsidP="00982983">
      <w:pPr>
        <w:spacing w:before="240" w:after="240" w:line="240" w:lineRule="auto"/>
        <w:ind w:left="708" w:right="326" w:firstLine="426"/>
        <w:jc w:val="center"/>
        <w:sectPr w:rsidR="00640082" w:rsidRPr="00982983" w:rsidSect="001E5818">
          <w:type w:val="continuous"/>
          <w:pgSz w:w="11909" w:h="16834"/>
          <w:pgMar w:top="1440" w:right="1440" w:bottom="1440" w:left="1440" w:header="720" w:footer="720" w:gutter="0"/>
          <w:pgNumType w:start="46"/>
          <w:cols w:space="720"/>
        </w:sectPr>
      </w:pPr>
      <w:r>
        <w:rPr>
          <w:rFonts w:ascii="Times New Roman" w:eastAsia="Times New Roman" w:hAnsi="Times New Roman" w:cs="Times New Roman"/>
          <w:sz w:val="20"/>
          <w:szCs w:val="20"/>
        </w:rPr>
        <w:t xml:space="preserve">Figure 8. </w:t>
      </w:r>
      <w:r w:rsidRPr="00252E01">
        <w:rPr>
          <w:rFonts w:ascii="Times New Roman" w:eastAsia="Times New Roman" w:hAnsi="Times New Roman" w:cs="Times New Roman"/>
          <w:sz w:val="20"/>
          <w:szCs w:val="20"/>
        </w:rPr>
        <w:t>Intensity of AI use</w:t>
      </w:r>
    </w:p>
    <w:p w14:paraId="290A2084" w14:textId="77777777" w:rsidR="00640082" w:rsidRDefault="00640082" w:rsidP="00A76FFE">
      <w:pPr>
        <w:spacing w:before="240" w:after="240" w:line="240" w:lineRule="auto"/>
        <w:ind w:left="708" w:firstLine="710"/>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The spread of information on social media is so rapid that it is the main source of information for respondents about the benefits of AI in overcoming loss. Figure 7 shows that 70% (21 people) got their information from social media. The remaining 23.3% (7 people) got information from friends, 3.3% (1 person) from their family and also 3.3% (1 person) searched for information on their own. In addition, this AI feature is interesting, but its popularity is not long lasting and has some drawbacks. As shown in Figure 8, 50% (15 people) use this feature occasionally, 30% (9 people) rather rarely, 13.3% (4 people) only once and 6.7% (2 people) frequently. The results of this study suggest that users of the AI feature are looking for media that can satisfy their social and psychological needs, in line with the Uses and Satisfaction Theory (Aini, 2023). Those experiencing a crisis of loss are looking for immediate ways to overcome it</w:t>
      </w:r>
      <w:bookmarkStart w:id="15" w:name="_Hlk183661132"/>
      <w:r>
        <w:rPr>
          <w:rFonts w:ascii="Times New Roman" w:eastAsia="Times New Roman" w:hAnsi="Times New Roman" w:cs="Times New Roman"/>
          <w:sz w:val="20"/>
          <w:szCs w:val="20"/>
        </w:rPr>
        <w:t>.</w:t>
      </w:r>
    </w:p>
    <w:bookmarkEnd w:id="15"/>
    <w:p w14:paraId="048E3C8D" w14:textId="77777777" w:rsidR="00640082" w:rsidRDefault="00640082" w:rsidP="001E6CA2">
      <w:pPr>
        <w:spacing w:before="240" w:after="240" w:line="240" w:lineRule="auto"/>
        <w:ind w:left="709" w:firstLine="709"/>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From the commands given by the users of the AI feature, the feedback was satisfactory. Figure 9 shows that 73.3% (22 people) felt that the feedback provided was appropriate and realistic to their commands. The remaining 26.7% (8 people) agreed. This data shows that the use of AI is also widespread because of its ability to automate and optimise the feedback given to users who give commands (Sitorus &amp; Murti, 2024)</w:t>
      </w:r>
      <w:r>
        <w:rPr>
          <w:rFonts w:ascii="Times New Roman" w:eastAsia="Times New Roman" w:hAnsi="Times New Roman" w:cs="Times New Roman"/>
          <w:sz w:val="20"/>
          <w:szCs w:val="20"/>
        </w:rPr>
        <w:t>.</w:t>
      </w:r>
    </w:p>
    <w:p w14:paraId="5FB5A378" w14:textId="77777777" w:rsidR="00640082" w:rsidRDefault="00640082" w:rsidP="00F678CA">
      <w:pPr>
        <w:spacing w:before="240" w:after="240" w:line="240" w:lineRule="auto"/>
        <w:ind w:left="708"/>
        <w:jc w:val="center"/>
        <w:rPr>
          <w:rFonts w:ascii="Times New Roman" w:eastAsia="Times New Roman" w:hAnsi="Times New Roman" w:cs="Times New Roman"/>
          <w:sz w:val="20"/>
          <w:szCs w:val="20"/>
        </w:rPr>
        <w:sectPr w:rsidR="00640082" w:rsidSect="00640082">
          <w:type w:val="continuous"/>
          <w:pgSz w:w="11909" w:h="16834"/>
          <w:pgMar w:top="1440" w:right="1440" w:bottom="1440" w:left="1440" w:header="720" w:footer="720" w:gutter="0"/>
          <w:pgNumType w:start="1"/>
          <w:cols w:space="720"/>
        </w:sectPr>
      </w:pPr>
    </w:p>
    <w:p w14:paraId="564D1FEA" w14:textId="77777777" w:rsidR="00640082" w:rsidRDefault="00640082" w:rsidP="00982983">
      <w:pPr>
        <w:spacing w:after="240" w:line="240" w:lineRule="auto"/>
        <w:ind w:left="708"/>
        <w:jc w:val="center"/>
        <w:rPr>
          <w:rFonts w:ascii="Times New Roman" w:eastAsia="Times New Roman" w:hAnsi="Times New Roman" w:cs="Times New Roman"/>
          <w:sz w:val="20"/>
          <w:szCs w:val="20"/>
        </w:rPr>
      </w:pPr>
      <w:bookmarkStart w:id="16" w:name="_Hlk183637484"/>
      <w:r>
        <w:rPr>
          <w:noProof/>
        </w:rPr>
        <w:drawing>
          <wp:inline distT="0" distB="0" distL="0" distR="0" wp14:anchorId="5B1946A4" wp14:editId="73B7E3E2">
            <wp:extent cx="5307965" cy="2133397"/>
            <wp:effectExtent l="0" t="0" r="698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a:extLst>
                        <a:ext uri="{28A0092B-C50C-407E-A947-70E740481C1C}">
                          <a14:useLocalDpi xmlns:a14="http://schemas.microsoft.com/office/drawing/2010/main" val="0"/>
                        </a:ext>
                      </a:extLst>
                    </a:blip>
                    <a:srcRect l="5660" t="17064" r="1735" b="16822"/>
                    <a:stretch/>
                  </pic:blipFill>
                  <pic:spPr bwMode="auto">
                    <a:xfrm>
                      <a:off x="0" y="0"/>
                      <a:ext cx="5309411" cy="21339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0"/>
          <w:szCs w:val="20"/>
        </w:rPr>
        <w:t xml:space="preserve">Figure 9. </w:t>
      </w:r>
      <w:r w:rsidRPr="00252E01">
        <w:rPr>
          <w:rFonts w:ascii="Times New Roman" w:eastAsia="Times New Roman" w:hAnsi="Times New Roman" w:cs="Times New Roman"/>
          <w:sz w:val="20"/>
          <w:szCs w:val="20"/>
        </w:rPr>
        <w:t>AI compliance with commands</w:t>
      </w:r>
      <w:bookmarkEnd w:id="16"/>
      <w:r w:rsidRPr="00F678CA">
        <w:rPr>
          <w:rFonts w:ascii="Times New Roman" w:eastAsia="Times New Roman" w:hAnsi="Times New Roman" w:cs="Times New Roman"/>
          <w:sz w:val="20"/>
          <w:szCs w:val="20"/>
        </w:rPr>
        <w:t xml:space="preserve"> </w:t>
      </w:r>
    </w:p>
    <w:p w14:paraId="67CE2E5F" w14:textId="77777777" w:rsidR="00640082" w:rsidRDefault="00640082" w:rsidP="001E6CA2">
      <w:pPr>
        <w:spacing w:before="240" w:after="240" w:line="240" w:lineRule="auto"/>
        <w:ind w:left="709" w:firstLine="709"/>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The use of AI features, which is still relatively new, is of course not fully accepted by all groups. As many as 40% (12 people) of respondents received support from people around them who understood and supported their actions when using AI to create interactions with people who have died. While 36.7% (11 people) believe that using this feature can inspire others in the future if they experience the same condition. However, 13.3% (4 people) experienced concern from people around them and the remaining 9.9% (3 people) chose not to tell others (see Figure 10). This shows that in the current era, AI features are widely accepted by everyone, even in almost all circles. However, the concerns that will arise cannot be dismissed, as this has also been one of the risks since AI first appeared to the public.</w:t>
      </w:r>
    </w:p>
    <w:p w14:paraId="6BD5CE99" w14:textId="77777777" w:rsidR="00640082" w:rsidRDefault="00640082" w:rsidP="00982983">
      <w:pPr>
        <w:spacing w:after="240" w:line="240" w:lineRule="auto"/>
        <w:ind w:left="567"/>
        <w:jc w:val="center"/>
        <w:rPr>
          <w:rFonts w:ascii="Times New Roman" w:eastAsia="Times New Roman" w:hAnsi="Times New Roman" w:cs="Times New Roman"/>
          <w:sz w:val="20"/>
          <w:szCs w:val="20"/>
        </w:rPr>
        <w:sectPr w:rsidR="00640082" w:rsidSect="001E5818">
          <w:type w:val="continuous"/>
          <w:pgSz w:w="11909" w:h="16834"/>
          <w:pgMar w:top="1440" w:right="1440" w:bottom="1440" w:left="1440" w:header="720" w:footer="720" w:gutter="0"/>
          <w:pgNumType w:start="47"/>
          <w:cols w:space="720"/>
        </w:sectPr>
      </w:pPr>
      <w:r>
        <w:rPr>
          <w:noProof/>
        </w:rPr>
        <w:drawing>
          <wp:inline distT="0" distB="0" distL="0" distR="0" wp14:anchorId="70AE3AED" wp14:editId="6717909A">
            <wp:extent cx="5437813" cy="2241502"/>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l="5145" t="14926" b="15620"/>
                    <a:stretch/>
                  </pic:blipFill>
                  <pic:spPr bwMode="auto">
                    <a:xfrm>
                      <a:off x="0" y="0"/>
                      <a:ext cx="5438415" cy="2241750"/>
                    </a:xfrm>
                    <a:prstGeom prst="rect">
                      <a:avLst/>
                    </a:prstGeom>
                    <a:noFill/>
                    <a:ln>
                      <a:noFill/>
                    </a:ln>
                    <a:extLst>
                      <a:ext uri="{53640926-AAD7-44D8-BBD7-CCE9431645EC}">
                        <a14:shadowObscured xmlns:a14="http://schemas.microsoft.com/office/drawing/2010/main"/>
                      </a:ext>
                    </a:extLst>
                  </pic:spPr>
                </pic:pic>
              </a:graphicData>
            </a:graphic>
          </wp:inline>
        </w:drawing>
      </w:r>
      <w:r w:rsidRPr="00B93F3F">
        <w:rPr>
          <w:rFonts w:ascii="Times New Roman" w:eastAsia="Times New Roman" w:hAnsi="Times New Roman" w:cs="Times New Roman"/>
          <w:sz w:val="20"/>
          <w:szCs w:val="20"/>
        </w:rPr>
        <w:t>Figure 10. Acceptance of AI use by people around the user</w:t>
      </w:r>
    </w:p>
    <w:p w14:paraId="0463A67E" w14:textId="77777777" w:rsidR="00640082" w:rsidRPr="00982983" w:rsidRDefault="00640082" w:rsidP="00982983">
      <w:pPr>
        <w:spacing w:before="240" w:after="240" w:line="240" w:lineRule="auto"/>
        <w:ind w:left="709" w:firstLine="709"/>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The initial use of AI capabilities was driven by the human need to overcome the crisis of loss. AI was seen as an alternative that could provide more than just social support. However, 63.3% (19 people) of respondents disagreed with this idea. They argued that human social support is still important as technology cannot fully replace real human interaction. They also felt that technology was mechanical and static. In contrast, 36.7% (11 people) of respondents agreed that AI can provide efficient words of comfort anytime, anywhere, without disturbing others. AI can also help alleviate their homesickness. Thus, from the research data shown in Figure 11, it can be interpreted that the emergence of AI from the outset was only to facilitate and support human life, not to replace the role of humans altogether. The most basic human need is to interact with their environment, and this cannot be replaced by AI capabilities alone</w:t>
      </w:r>
      <w:r>
        <w:rPr>
          <w:rFonts w:ascii="Times New Roman" w:eastAsia="Times New Roman" w:hAnsi="Times New Roman" w:cs="Times New Roman"/>
          <w:sz w:val="20"/>
          <w:szCs w:val="20"/>
        </w:rPr>
        <w:t>.</w:t>
      </w:r>
    </w:p>
    <w:p w14:paraId="7DF6DA41" w14:textId="77777777" w:rsidR="00640082" w:rsidRDefault="00640082" w:rsidP="00A454A0">
      <w:pPr>
        <w:spacing w:line="240" w:lineRule="auto"/>
        <w:ind w:left="708"/>
        <w:jc w:val="center"/>
        <w:rPr>
          <w:rFonts w:ascii="Times New Roman" w:eastAsia="Times New Roman" w:hAnsi="Times New Roman" w:cs="Times New Roman"/>
          <w:sz w:val="20"/>
          <w:szCs w:val="20"/>
        </w:rPr>
      </w:pPr>
      <w:r>
        <w:rPr>
          <w:noProof/>
        </w:rPr>
        <w:drawing>
          <wp:inline distT="0" distB="0" distL="0" distR="0" wp14:anchorId="0E13638D" wp14:editId="18DED884">
            <wp:extent cx="3008671" cy="2132965"/>
            <wp:effectExtent l="0" t="0" r="127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6">
                      <a:extLst>
                        <a:ext uri="{28A0092B-C50C-407E-A947-70E740481C1C}">
                          <a14:useLocalDpi xmlns:a14="http://schemas.microsoft.com/office/drawing/2010/main" val="0"/>
                        </a:ext>
                      </a:extLst>
                    </a:blip>
                    <a:srcRect l="6004" t="16147" r="41507" b="17752"/>
                    <a:stretch/>
                  </pic:blipFill>
                  <pic:spPr bwMode="auto">
                    <a:xfrm>
                      <a:off x="0" y="0"/>
                      <a:ext cx="3009454" cy="2133520"/>
                    </a:xfrm>
                    <a:prstGeom prst="rect">
                      <a:avLst/>
                    </a:prstGeom>
                    <a:noFill/>
                    <a:ln>
                      <a:noFill/>
                    </a:ln>
                    <a:extLst>
                      <a:ext uri="{53640926-AAD7-44D8-BBD7-CCE9431645EC}">
                        <a14:shadowObscured xmlns:a14="http://schemas.microsoft.com/office/drawing/2010/main"/>
                      </a:ext>
                    </a:extLst>
                  </pic:spPr>
                </pic:pic>
              </a:graphicData>
            </a:graphic>
          </wp:inline>
        </w:drawing>
      </w:r>
    </w:p>
    <w:p w14:paraId="021FEF72" w14:textId="77777777" w:rsidR="00640082" w:rsidRPr="00A454A0" w:rsidRDefault="00640082" w:rsidP="00A454A0">
      <w:pPr>
        <w:spacing w:line="240" w:lineRule="auto"/>
        <w:ind w:left="708"/>
        <w:jc w:val="center"/>
        <w:rPr>
          <w:rFonts w:ascii="Times New Roman" w:eastAsia="Times New Roman" w:hAnsi="Times New Roman" w:cs="Times New Roman"/>
          <w:sz w:val="20"/>
          <w:szCs w:val="20"/>
        </w:rPr>
      </w:pPr>
      <w:r w:rsidRPr="00A454A0">
        <w:rPr>
          <w:rFonts w:ascii="Times New Roman" w:eastAsia="Times New Roman" w:hAnsi="Times New Roman" w:cs="Times New Roman"/>
          <w:sz w:val="20"/>
          <w:szCs w:val="20"/>
        </w:rPr>
        <w:t>Figure 11.</w:t>
      </w:r>
      <w:r w:rsidRPr="00252E01">
        <w:t xml:space="preserve"> </w:t>
      </w:r>
      <w:r w:rsidRPr="00252E01">
        <w:rPr>
          <w:rFonts w:ascii="Times New Roman" w:eastAsia="Times New Roman" w:hAnsi="Times New Roman" w:cs="Times New Roman"/>
          <w:sz w:val="20"/>
          <w:szCs w:val="20"/>
        </w:rPr>
        <w:t>Relationship between AI and social support</w:t>
      </w:r>
    </w:p>
    <w:p w14:paraId="1E319766" w14:textId="77777777" w:rsidR="00640082" w:rsidRDefault="00640082">
      <w:pPr>
        <w:spacing w:line="240" w:lineRule="auto"/>
        <w:rPr>
          <w:rFonts w:ascii="Times New Roman" w:eastAsia="Times New Roman" w:hAnsi="Times New Roman" w:cs="Times New Roman"/>
          <w:b/>
          <w:sz w:val="20"/>
          <w:szCs w:val="20"/>
        </w:rPr>
      </w:pPr>
    </w:p>
    <w:p w14:paraId="6F89D342" w14:textId="77777777" w:rsidR="00640082" w:rsidRDefault="00640082" w:rsidP="00A76FFE">
      <w:pPr>
        <w:spacing w:line="240" w:lineRule="auto"/>
        <w:ind w:left="717"/>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3.4 </w:t>
      </w:r>
      <w:bookmarkStart w:id="17" w:name="_Hlk183661403"/>
      <w:r w:rsidRPr="00A76FFE">
        <w:rPr>
          <w:rFonts w:ascii="Times New Roman" w:eastAsia="Times New Roman" w:hAnsi="Times New Roman" w:cs="Times New Roman"/>
          <w:b/>
          <w:sz w:val="20"/>
          <w:szCs w:val="20"/>
        </w:rPr>
        <w:t xml:space="preserve">Social </w:t>
      </w:r>
      <w:r>
        <w:rPr>
          <w:rFonts w:ascii="Times New Roman" w:eastAsia="Times New Roman" w:hAnsi="Times New Roman" w:cs="Times New Roman"/>
          <w:b/>
          <w:sz w:val="20"/>
          <w:szCs w:val="20"/>
        </w:rPr>
        <w:t>L</w:t>
      </w:r>
      <w:r w:rsidRPr="00A76FFE">
        <w:rPr>
          <w:rFonts w:ascii="Times New Roman" w:eastAsia="Times New Roman" w:hAnsi="Times New Roman" w:cs="Times New Roman"/>
          <w:b/>
          <w:sz w:val="20"/>
          <w:szCs w:val="20"/>
        </w:rPr>
        <w:t xml:space="preserve">ife after AI </w:t>
      </w:r>
      <w:r>
        <w:rPr>
          <w:rFonts w:ascii="Times New Roman" w:eastAsia="Times New Roman" w:hAnsi="Times New Roman" w:cs="Times New Roman"/>
          <w:b/>
          <w:sz w:val="20"/>
          <w:szCs w:val="20"/>
        </w:rPr>
        <w:t>U</w:t>
      </w:r>
      <w:r w:rsidRPr="00A76FFE">
        <w:rPr>
          <w:rFonts w:ascii="Times New Roman" w:eastAsia="Times New Roman" w:hAnsi="Times New Roman" w:cs="Times New Roman"/>
          <w:b/>
          <w:sz w:val="20"/>
          <w:szCs w:val="20"/>
        </w:rPr>
        <w:t>se</w:t>
      </w:r>
    </w:p>
    <w:p w14:paraId="157A8C75" w14:textId="77777777" w:rsidR="00640082" w:rsidRDefault="00640082" w:rsidP="00A76FFE">
      <w:pPr>
        <w:spacing w:line="240" w:lineRule="auto"/>
        <w:ind w:left="717"/>
        <w:rPr>
          <w:rFonts w:ascii="Times New Roman" w:eastAsia="Times New Roman" w:hAnsi="Times New Roman" w:cs="Times New Roman"/>
          <w:b/>
          <w:sz w:val="20"/>
          <w:szCs w:val="20"/>
        </w:rPr>
      </w:pPr>
    </w:p>
    <w:p w14:paraId="196B1330" w14:textId="77777777" w:rsidR="00640082" w:rsidRDefault="00640082" w:rsidP="00A76FFE">
      <w:pPr>
        <w:spacing w:after="240" w:line="240" w:lineRule="auto"/>
        <w:ind w:left="717" w:firstLine="701"/>
        <w:rPr>
          <w:rFonts w:ascii="Times New Roman" w:eastAsia="Times New Roman" w:hAnsi="Times New Roman" w:cs="Times New Roman"/>
          <w:sz w:val="20"/>
          <w:szCs w:val="20"/>
        </w:rPr>
      </w:pPr>
      <w:r w:rsidRPr="00A76FFE">
        <w:rPr>
          <w:rFonts w:ascii="Times New Roman" w:eastAsia="Times New Roman" w:hAnsi="Times New Roman" w:cs="Times New Roman"/>
          <w:sz w:val="20"/>
          <w:szCs w:val="20"/>
        </w:rPr>
        <w:t>The effects of using the two AIs did not significantly affect the frequency of respondents' interactions with others. The results from the questionnaire showed that 93.3% or 28 respondents experienced no change in the intensity of their interactions, i.e. the respondents felt that their daily interactions with others were the same as before. However, 3.3% or 1 respondent experienced a change, i.e. they interacted with others less frequently, and 3.3% or 1 other respondent actually interacted more frequently (see Figure 12). This suggests that a small percentage of people can be replaced in interpersonal communication. Asking questions, exchanging opinions, and other services can almost all be performed by AI, resulting in less interaction with fellow humans. This condition is not without reason, but because the desired needs can be met by AI technology (Azzahra et al., 2023).</w:t>
      </w:r>
    </w:p>
    <w:p w14:paraId="3BCBD222" w14:textId="77777777" w:rsidR="00640082" w:rsidRPr="00982983" w:rsidRDefault="00640082" w:rsidP="00982983">
      <w:pPr>
        <w:spacing w:before="240" w:after="240" w:line="240" w:lineRule="auto"/>
        <w:ind w:left="709" w:right="185"/>
        <w:jc w:val="center"/>
        <w:rPr>
          <w:rFonts w:ascii="Times New Roman" w:hAnsi="Times New Roman" w:cs="Times New Roman"/>
          <w:sz w:val="20"/>
          <w:szCs w:val="20"/>
        </w:rPr>
        <w:sectPr w:rsidR="00640082" w:rsidRPr="00982983" w:rsidSect="001E5818">
          <w:type w:val="continuous"/>
          <w:pgSz w:w="11909" w:h="16834"/>
          <w:pgMar w:top="1440" w:right="1440" w:bottom="1440" w:left="1440" w:header="720" w:footer="720" w:gutter="0"/>
          <w:pgNumType w:start="48"/>
          <w:cols w:space="720"/>
        </w:sectPr>
      </w:pPr>
      <w:bookmarkStart w:id="18" w:name="_Hlk183638806"/>
      <w:bookmarkEnd w:id="17"/>
      <w:r>
        <w:rPr>
          <w:noProof/>
        </w:rPr>
        <w:drawing>
          <wp:inline distT="0" distB="0" distL="0" distR="0" wp14:anchorId="3824ED96" wp14:editId="7BBB5EB8">
            <wp:extent cx="5418372" cy="212372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a:extLst>
                        <a:ext uri="{28A0092B-C50C-407E-A947-70E740481C1C}">
                          <a14:useLocalDpi xmlns:a14="http://schemas.microsoft.com/office/drawing/2010/main" val="0"/>
                        </a:ext>
                      </a:extLst>
                    </a:blip>
                    <a:srcRect l="5487" t="17974" b="16224"/>
                    <a:stretch/>
                  </pic:blipFill>
                  <pic:spPr bwMode="auto">
                    <a:xfrm>
                      <a:off x="0" y="0"/>
                      <a:ext cx="5418783" cy="212388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0"/>
          <w:szCs w:val="20"/>
        </w:rPr>
        <w:t>Figure</w:t>
      </w:r>
      <w:r w:rsidRPr="006E4AA3">
        <w:rPr>
          <w:rFonts w:ascii="Times New Roman" w:hAnsi="Times New Roman" w:cs="Times New Roman"/>
          <w:sz w:val="20"/>
          <w:szCs w:val="20"/>
        </w:rPr>
        <w:t xml:space="preserve"> 12. </w:t>
      </w:r>
      <w:r w:rsidRPr="00252E01">
        <w:rPr>
          <w:rFonts w:ascii="Times New Roman" w:hAnsi="Times New Roman" w:cs="Times New Roman"/>
          <w:sz w:val="20"/>
          <w:szCs w:val="20"/>
        </w:rPr>
        <w:t>Frequency of user interaction with others after utilising AI</w:t>
      </w:r>
      <w:bookmarkEnd w:id="18"/>
      <w:r>
        <w:rPr>
          <w:rFonts w:ascii="Times New Roman" w:eastAsia="Times New Roman" w:hAnsi="Times New Roman" w:cs="Times New Roman"/>
          <w:sz w:val="20"/>
          <w:szCs w:val="20"/>
        </w:rPr>
        <w:t xml:space="preserve">                                   </w:t>
      </w:r>
      <w:r>
        <w:rPr>
          <w:noProof/>
        </w:rPr>
        <w:drawing>
          <wp:inline distT="0" distB="0" distL="0" distR="0" wp14:anchorId="5E2DA0C5" wp14:editId="177D7D03">
            <wp:extent cx="5190941" cy="2152462"/>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l="7548" t="17668" r="1880" b="15620"/>
                    <a:stretch/>
                  </pic:blipFill>
                  <pic:spPr bwMode="auto">
                    <a:xfrm>
                      <a:off x="0" y="0"/>
                      <a:ext cx="5192867" cy="2153261"/>
                    </a:xfrm>
                    <a:prstGeom prst="rect">
                      <a:avLst/>
                    </a:prstGeom>
                    <a:noFill/>
                    <a:ln>
                      <a:noFill/>
                    </a:ln>
                    <a:extLst>
                      <a:ext uri="{53640926-AAD7-44D8-BBD7-CCE9431645EC}">
                        <a14:shadowObscured xmlns:a14="http://schemas.microsoft.com/office/drawing/2010/main"/>
                      </a:ext>
                    </a:extLst>
                  </pic:spPr>
                </pic:pic>
              </a:graphicData>
            </a:graphic>
          </wp:inline>
        </w:drawing>
      </w:r>
      <w:r w:rsidRPr="006E4AA3">
        <w:rPr>
          <w:rFonts w:ascii="Times New Roman" w:eastAsia="Times New Roman" w:hAnsi="Times New Roman" w:cs="Times New Roman"/>
          <w:sz w:val="20"/>
          <w:szCs w:val="20"/>
        </w:rPr>
        <w:t>Figure 1</w:t>
      </w:r>
      <w:r>
        <w:rPr>
          <w:rFonts w:ascii="Times New Roman" w:eastAsia="Times New Roman" w:hAnsi="Times New Roman" w:cs="Times New Roman"/>
          <w:sz w:val="20"/>
          <w:szCs w:val="20"/>
        </w:rPr>
        <w:t>3</w:t>
      </w:r>
      <w:r w:rsidRPr="006E4AA3">
        <w:rPr>
          <w:rFonts w:ascii="Times New Roman" w:eastAsia="Times New Roman" w:hAnsi="Times New Roman" w:cs="Times New Roman"/>
          <w:sz w:val="20"/>
          <w:szCs w:val="20"/>
        </w:rPr>
        <w:t xml:space="preserve">. </w:t>
      </w:r>
      <w:r w:rsidRPr="00252E01">
        <w:rPr>
          <w:rFonts w:ascii="Times New Roman" w:eastAsia="Times New Roman" w:hAnsi="Times New Roman" w:cs="Times New Roman"/>
          <w:sz w:val="20"/>
          <w:szCs w:val="20"/>
        </w:rPr>
        <w:t>The relationship between the use of AI and the ease of interacting with others</w:t>
      </w:r>
    </w:p>
    <w:p w14:paraId="154936F3" w14:textId="77777777" w:rsidR="00640082" w:rsidRPr="00982983" w:rsidRDefault="00640082" w:rsidP="001E6CA2">
      <w:pPr>
        <w:spacing w:line="240" w:lineRule="auto"/>
        <w:ind w:left="717" w:firstLine="701"/>
        <w:rPr>
          <w:rFonts w:ascii="Times New Roman" w:eastAsia="Times New Roman" w:hAnsi="Times New Roman" w:cs="Times New Roman"/>
          <w:sz w:val="20"/>
          <w:szCs w:val="20"/>
        </w:rPr>
        <w:sectPr w:rsidR="00640082" w:rsidRPr="00982983" w:rsidSect="00640082">
          <w:type w:val="continuous"/>
          <w:pgSz w:w="11909" w:h="16834"/>
          <w:pgMar w:top="1440" w:right="1440" w:bottom="1440" w:left="1440" w:header="720" w:footer="720" w:gutter="0"/>
          <w:pgNumType w:start="1"/>
          <w:cols w:space="720"/>
        </w:sectPr>
      </w:pPr>
      <w:r w:rsidRPr="00A76FFE">
        <w:rPr>
          <w:rFonts w:ascii="Times New Roman" w:eastAsia="Times New Roman" w:hAnsi="Times New Roman" w:cs="Times New Roman"/>
          <w:sz w:val="20"/>
          <w:szCs w:val="20"/>
        </w:rPr>
        <w:t>Regarding the ease of interacting with others after using AI such as ChatGPT and Deepfake, as shown in Figure 13, 83.3% or 25 respondents said that there was no significant change. As many as 16.7% or 5 more respondents said that AI was able to restore or increase their confidence in interacting with others. If this is related to the social cognitive theory developed by Bandura (2023), it can be interpreted that in the context of using AI, users learn new social skills by observing how AI responds to different situations. For example, how to start a conversation, give appropriate responses, or resolve conflicts. They can then use this learning to continue their social life</w:t>
      </w:r>
      <w:r>
        <w:rPr>
          <w:rFonts w:ascii="Times New Roman" w:eastAsia="Times New Roman" w:hAnsi="Times New Roman" w:cs="Times New Roman"/>
          <w:sz w:val="20"/>
          <w:szCs w:val="20"/>
        </w:rPr>
        <w:t>.</w:t>
      </w:r>
    </w:p>
    <w:p w14:paraId="34CDBE87" w14:textId="77777777" w:rsidR="00640082" w:rsidRPr="00A76FFE" w:rsidRDefault="00640082" w:rsidP="00A76FFE">
      <w:pPr>
        <w:spacing w:before="240" w:after="240" w:line="240" w:lineRule="auto"/>
        <w:ind w:left="708" w:firstLine="710"/>
        <w:rPr>
          <w:rFonts w:ascii="Times New Roman" w:eastAsia="Times New Roman" w:hAnsi="Times New Roman" w:cs="Times New Roman"/>
          <w:sz w:val="20"/>
          <w:szCs w:val="20"/>
        </w:rPr>
      </w:pPr>
      <w:r w:rsidRPr="00A76FFE">
        <w:rPr>
          <w:rFonts w:ascii="Times New Roman" w:eastAsia="Times New Roman" w:hAnsi="Times New Roman" w:cs="Times New Roman"/>
          <w:sz w:val="20"/>
          <w:szCs w:val="20"/>
        </w:rPr>
        <w:t xml:space="preserve">Ethical issues were also highlighted in this study. Figure 14 shows that 66.7% or 20 respondents were not concerned about ethical issues as long as AI is used wisely. 10% or 3 respondents were also not concerned, arguing that using AI could be a good way to remember their loved ones. However, 16.7% or 5 respondents were somewhat concerned and 6.7% or 2 respondents were very concerned. </w:t>
      </w:r>
    </w:p>
    <w:p w14:paraId="54130800" w14:textId="77777777" w:rsidR="00640082" w:rsidRDefault="00640082" w:rsidP="00A76FFE">
      <w:pPr>
        <w:spacing w:before="240" w:after="240" w:line="240" w:lineRule="auto"/>
        <w:ind w:left="708" w:firstLine="710"/>
        <w:rPr>
          <w:rFonts w:ascii="Times New Roman" w:eastAsia="Times New Roman" w:hAnsi="Times New Roman" w:cs="Times New Roman"/>
          <w:sz w:val="20"/>
          <w:szCs w:val="20"/>
        </w:rPr>
        <w:sectPr w:rsidR="00640082" w:rsidSect="00640082">
          <w:type w:val="continuous"/>
          <w:pgSz w:w="11909" w:h="16834"/>
          <w:pgMar w:top="1440" w:right="1440" w:bottom="1440" w:left="1440" w:header="720" w:footer="720" w:gutter="0"/>
          <w:pgNumType w:start="1"/>
          <w:cols w:space="720"/>
        </w:sectPr>
      </w:pPr>
      <w:r w:rsidRPr="00A76FFE">
        <w:rPr>
          <w:rFonts w:ascii="Times New Roman" w:eastAsia="Times New Roman" w:hAnsi="Times New Roman" w:cs="Times New Roman"/>
          <w:sz w:val="20"/>
          <w:szCs w:val="20"/>
        </w:rPr>
        <w:t>Meanwhile, the use of AI in times of grief is acceptable according to 24 respondents (80%), although they recognize that it is not necessarily acceptable to the wider community. A total of 13.3% or 4 respondents said it was generally acceptable, and 6.7% or 2 others said it was not acceptable (see Figure 15). Cognitive dissonance theory explains why people who use AI to memorialize the dead often feel uncomfortable. They try to overcome this discomfort by finding reasons that make the use of AI reasonable, despite ethical concerns</w:t>
      </w:r>
    </w:p>
    <w:p w14:paraId="7926C25C" w14:textId="77777777" w:rsidR="00640082" w:rsidRPr="00252E01" w:rsidRDefault="00640082" w:rsidP="00DB4818">
      <w:pPr>
        <w:spacing w:before="240" w:after="240" w:line="240" w:lineRule="auto"/>
        <w:ind w:left="709"/>
        <w:jc w:val="center"/>
        <w:rPr>
          <w:rFonts w:ascii="Times New Roman" w:eastAsia="Times New Roman" w:hAnsi="Times New Roman" w:cs="Times New Roman"/>
          <w:sz w:val="20"/>
          <w:szCs w:val="20"/>
        </w:rPr>
      </w:pPr>
      <w:r>
        <w:rPr>
          <w:noProof/>
        </w:rPr>
        <w:drawing>
          <wp:inline distT="0" distB="0" distL="0" distR="0" wp14:anchorId="44318E97" wp14:editId="3C382108">
            <wp:extent cx="5220417" cy="217213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6690" t="18584" r="2227" b="14097"/>
                    <a:stretch/>
                  </pic:blipFill>
                  <pic:spPr bwMode="auto">
                    <a:xfrm>
                      <a:off x="0" y="0"/>
                      <a:ext cx="5222173" cy="217286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0"/>
          <w:szCs w:val="20"/>
        </w:rPr>
        <w:t xml:space="preserve">Figure 14. </w:t>
      </w:r>
      <w:r w:rsidRPr="00252E01">
        <w:rPr>
          <w:rFonts w:ascii="Times New Roman" w:eastAsia="Times New Roman" w:hAnsi="Times New Roman" w:cs="Times New Roman"/>
          <w:sz w:val="20"/>
          <w:szCs w:val="20"/>
        </w:rPr>
        <w:t>Level of concern about AI from an ethical perspective</w:t>
      </w:r>
    </w:p>
    <w:p w14:paraId="5EFB45DF" w14:textId="77777777" w:rsidR="00640082" w:rsidRDefault="00640082" w:rsidP="00DB4818">
      <w:pPr>
        <w:spacing w:before="240" w:after="240" w:line="240" w:lineRule="auto"/>
        <w:ind w:left="709"/>
        <w:jc w:val="center"/>
        <w:rPr>
          <w:rFonts w:ascii="Times New Roman" w:eastAsia="Times New Roman" w:hAnsi="Times New Roman" w:cs="Times New Roman"/>
          <w:sz w:val="20"/>
          <w:szCs w:val="20"/>
        </w:rPr>
        <w:sectPr w:rsidR="00640082" w:rsidSect="001E5818">
          <w:type w:val="continuous"/>
          <w:pgSz w:w="11909" w:h="16834"/>
          <w:pgMar w:top="1440" w:right="1440" w:bottom="1440" w:left="1440" w:header="720" w:footer="720" w:gutter="0"/>
          <w:pgNumType w:start="50"/>
          <w:cols w:space="720"/>
        </w:sectPr>
      </w:pPr>
      <w:r>
        <w:rPr>
          <w:noProof/>
        </w:rPr>
        <w:drawing>
          <wp:inline distT="0" distB="0" distL="0" distR="0" wp14:anchorId="5057F224" wp14:editId="58F13ECC">
            <wp:extent cx="5416152" cy="2250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0">
                      <a:extLst>
                        <a:ext uri="{28A0092B-C50C-407E-A947-70E740481C1C}">
                          <a14:useLocalDpi xmlns:a14="http://schemas.microsoft.com/office/drawing/2010/main" val="0"/>
                        </a:ext>
                      </a:extLst>
                    </a:blip>
                    <a:srcRect l="5491" t="15844" b="14401"/>
                    <a:stretch/>
                  </pic:blipFill>
                  <pic:spPr bwMode="auto">
                    <a:xfrm>
                      <a:off x="0" y="0"/>
                      <a:ext cx="5418638" cy="2251473"/>
                    </a:xfrm>
                    <a:prstGeom prst="rect">
                      <a:avLst/>
                    </a:prstGeom>
                    <a:noFill/>
                    <a:ln>
                      <a:noFill/>
                    </a:ln>
                    <a:extLst>
                      <a:ext uri="{53640926-AAD7-44D8-BBD7-CCE9431645EC}">
                        <a14:shadowObscured xmlns:a14="http://schemas.microsoft.com/office/drawing/2010/main"/>
                      </a:ext>
                    </a:extLst>
                  </pic:spPr>
                </pic:pic>
              </a:graphicData>
            </a:graphic>
          </wp:inline>
        </w:drawing>
      </w:r>
      <w:r w:rsidRPr="00252E01">
        <w:rPr>
          <w:rFonts w:ascii="Times New Roman" w:eastAsia="Times New Roman" w:hAnsi="Times New Roman" w:cs="Times New Roman"/>
          <w:sz w:val="20"/>
          <w:szCs w:val="20"/>
        </w:rPr>
        <w:t>Figure 15. Relationship between AI use and public acceptance during bereavement</w:t>
      </w:r>
    </w:p>
    <w:p w14:paraId="68B45EFD" w14:textId="77777777" w:rsidR="00640082" w:rsidRDefault="00640082">
      <w:pPr>
        <w:widowControl w:val="0"/>
        <w:spacing w:line="240" w:lineRule="auto"/>
        <w:ind w:left="720" w:right="138"/>
        <w:jc w:val="center"/>
        <w:rPr>
          <w:rFonts w:ascii="Times New Roman" w:eastAsia="Times New Roman" w:hAnsi="Times New Roman" w:cs="Times New Roman"/>
          <w:sz w:val="20"/>
          <w:szCs w:val="20"/>
        </w:rPr>
      </w:pPr>
    </w:p>
    <w:p w14:paraId="6AAD0E16" w14:textId="77777777" w:rsidR="00640082" w:rsidRDefault="00640082" w:rsidP="00640082">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0C025DB4" w14:textId="77777777" w:rsidR="00640082" w:rsidRDefault="00640082" w:rsidP="00A76FFE">
      <w:pPr>
        <w:spacing w:line="240" w:lineRule="auto"/>
        <w:ind w:left="720" w:firstLine="698"/>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The use of AI in the current era cannot be separated from the younger generation and has become an integral part of their daily lives, both in building communication and in digital construction. The results of this study show that there is a phenomenon that individuals in all their daily activities, including during a grief crisis, cannot be separated from the role of social media interaction. The use of artificial intelligence, such as ChatGPT and Deepfake, is a new breakthrough that is very popular and widely used as an immediate way to overcome a grief crisis. However, behind the benefits, this research also shows that the emergence of AI from the beginning is basically just to facilitate and support human life, not to replace the role of humans as a whole. The most basic human need is to interact with the environment, and this cannot be replaced by AI capabilities. The effects of using the two AIs also did not significantly affect the frequency of interaction and ease of communicating with others after the grief crisis.</w:t>
      </w:r>
    </w:p>
    <w:p w14:paraId="7D4D2A33" w14:textId="4AEA7A51" w:rsidR="00640082" w:rsidRPr="00BA3ACB" w:rsidRDefault="00640082" w:rsidP="00BA3ACB">
      <w:pPr>
        <w:spacing w:line="240" w:lineRule="auto"/>
        <w:ind w:left="720" w:firstLine="698"/>
        <w:rPr>
          <w:rFonts w:ascii="Times New Roman" w:eastAsia="Times New Roman" w:hAnsi="Times New Roman" w:cs="Times New Roman"/>
          <w:sz w:val="20"/>
          <w:szCs w:val="20"/>
        </w:rPr>
      </w:pPr>
      <w:r w:rsidRPr="007E4B2A">
        <w:rPr>
          <w:rFonts w:ascii="Times New Roman" w:eastAsia="Times New Roman" w:hAnsi="Times New Roman" w:cs="Times New Roman"/>
          <w:sz w:val="20"/>
          <w:szCs w:val="20"/>
        </w:rPr>
        <w:t>This study is limited to analysing only one condition, namely during a grief crisis, so it does not provide a comprehensive picture of the relationship between the use of artificial intelligence and the social lives of its users. Because of these limitations, this study suggests the need for further research to consider comparative aspects in terms of regions and to draw on more diverse data in order to gain a more comprehensive understanding</w:t>
      </w:r>
      <w:r w:rsidRPr="006D1C0C">
        <w:rPr>
          <w:rFonts w:ascii="Times New Roman" w:eastAsia="Times New Roman" w:hAnsi="Times New Roman" w:cs="Times New Roman"/>
          <w:sz w:val="20"/>
          <w:szCs w:val="20"/>
        </w:rPr>
        <w:t>.</w:t>
      </w:r>
    </w:p>
    <w:p w14:paraId="1458E1F0" w14:textId="77777777" w:rsidR="00640082" w:rsidRDefault="00640082">
      <w:pPr>
        <w:spacing w:line="240" w:lineRule="auto"/>
        <w:ind w:left="717"/>
        <w:rPr>
          <w:rFonts w:ascii="Times New Roman" w:eastAsia="Times New Roman" w:hAnsi="Times New Roman" w:cs="Times New Roman"/>
          <w:sz w:val="18"/>
          <w:szCs w:val="18"/>
        </w:rPr>
      </w:pPr>
      <w:r>
        <w:rPr>
          <w:rFonts w:ascii="Times New Roman" w:eastAsia="Times New Roman" w:hAnsi="Times New Roman" w:cs="Times New Roman"/>
          <w:b/>
          <w:sz w:val="24"/>
          <w:szCs w:val="24"/>
        </w:rPr>
        <w:t>Reference</w:t>
      </w:r>
    </w:p>
    <w:p w14:paraId="30E06DF5"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Aini, Q. (2023). The Phenomenon of Using ChatGpt Application in Doing College Assignments. </w:t>
      </w:r>
      <w:r w:rsidRPr="007B74F5">
        <w:rPr>
          <w:rFonts w:ascii="Times New Roman" w:eastAsia="Times New Roman" w:hAnsi="Times New Roman" w:cs="Times New Roman"/>
          <w:i/>
          <w:iCs/>
          <w:sz w:val="20"/>
          <w:szCs w:val="20"/>
        </w:rPr>
        <w:t>Thesis</w:t>
      </w:r>
      <w:r w:rsidRPr="007B74F5">
        <w:rPr>
          <w:rFonts w:ascii="Times New Roman" w:eastAsia="Times New Roman" w:hAnsi="Times New Roman" w:cs="Times New Roman"/>
          <w:sz w:val="20"/>
          <w:szCs w:val="20"/>
        </w:rPr>
        <w:t>. Faculty of Da'wah, Kiai Haji Achmad Siddiq Jember State Islamic University.</w:t>
      </w:r>
    </w:p>
    <w:p w14:paraId="2CE72B91"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Almars, A. M. (2021). Deepfakes Detection Techniques Using Deep Learning: A Survey. </w:t>
      </w:r>
      <w:r w:rsidRPr="007B74F5">
        <w:rPr>
          <w:rFonts w:ascii="Times New Roman" w:eastAsia="Times New Roman" w:hAnsi="Times New Roman" w:cs="Times New Roman"/>
          <w:i/>
          <w:iCs/>
          <w:sz w:val="20"/>
          <w:szCs w:val="20"/>
        </w:rPr>
        <w:t>Journal of Computer and Communications, 9</w:t>
      </w:r>
      <w:r w:rsidRPr="007B74F5">
        <w:rPr>
          <w:rFonts w:ascii="Times New Roman" w:eastAsia="Times New Roman" w:hAnsi="Times New Roman" w:cs="Times New Roman"/>
          <w:sz w:val="20"/>
          <w:szCs w:val="20"/>
        </w:rPr>
        <w:t>(5), 20-21. DOI: https://doi.org/10.4236/jcc.2021.95003.</w:t>
      </w:r>
    </w:p>
    <w:p w14:paraId="3B7F322B"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APJII. (2024). </w:t>
      </w:r>
      <w:r w:rsidRPr="007B74F5">
        <w:rPr>
          <w:rFonts w:ascii="Times New Roman" w:eastAsia="Times New Roman" w:hAnsi="Times New Roman" w:cs="Times New Roman"/>
          <w:i/>
          <w:iCs/>
          <w:sz w:val="20"/>
          <w:szCs w:val="20"/>
        </w:rPr>
        <w:t>APJII Number of Indonesian Internet Users Reached 221 Million People</w:t>
      </w:r>
      <w:r w:rsidRPr="007B74F5">
        <w:rPr>
          <w:rFonts w:ascii="Times New Roman" w:eastAsia="Times New Roman" w:hAnsi="Times New Roman" w:cs="Times New Roman"/>
          <w:sz w:val="20"/>
          <w:szCs w:val="20"/>
        </w:rPr>
        <w:t>. Retrieved from: https://apjii.or.id/berita/d/apjii-jumlah-pengguna-internet-indonesia-tembus-221-juta-orang.</w:t>
      </w:r>
    </w:p>
    <w:p w14:paraId="19B462F5"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Azzahra, Fatimah, A., Nathanael, &amp; Fatach T. A. (2023). Social Change Due to the Emergence of GPT Chat Technology among Students. </w:t>
      </w:r>
      <w:r w:rsidRPr="007B74F5">
        <w:rPr>
          <w:rFonts w:ascii="Times New Roman" w:eastAsia="Times New Roman" w:hAnsi="Times New Roman" w:cs="Times New Roman"/>
          <w:i/>
          <w:iCs/>
          <w:sz w:val="20"/>
          <w:szCs w:val="20"/>
        </w:rPr>
        <w:t>Madani: Multidisciplinary Scientific Journal, 1</w:t>
      </w:r>
      <w:r w:rsidRPr="007B74F5">
        <w:rPr>
          <w:rFonts w:ascii="Times New Roman" w:eastAsia="Times New Roman" w:hAnsi="Times New Roman" w:cs="Times New Roman"/>
          <w:sz w:val="20"/>
          <w:szCs w:val="20"/>
        </w:rPr>
        <w:t>(11), 270-275. DOI: https://doi.org/10.5281/zenodo.10252301.</w:t>
      </w:r>
    </w:p>
    <w:p w14:paraId="3845017C" w14:textId="77777777" w:rsidR="00640082" w:rsidRPr="00852B22" w:rsidRDefault="00640082" w:rsidP="00852B22">
      <w:pPr>
        <w:ind w:left="1276" w:hanging="578"/>
        <w:rPr>
          <w:rFonts w:ascii="Times New Roman" w:eastAsia="Times New Roman" w:hAnsi="Times New Roman" w:cs="Times New Roman"/>
          <w:sz w:val="20"/>
          <w:szCs w:val="20"/>
        </w:rPr>
      </w:pPr>
      <w:r w:rsidRPr="00852B22">
        <w:rPr>
          <w:rFonts w:ascii="Times New Roman" w:eastAsia="Times New Roman" w:hAnsi="Times New Roman" w:cs="Times New Roman"/>
          <w:sz w:val="20"/>
          <w:szCs w:val="20"/>
        </w:rPr>
        <w:t>Ardita, C. D., Nadhifah, S., Selly, A. Z. N., Sari, I. N., Sholikhah, R. A., Triyaliska, R., &amp; Santoso, A. P. A. (2024). Analysis of the Influence of Artificial Intelligence (AI) Technology in Daily Life.</w:t>
      </w:r>
      <w:r>
        <w:rPr>
          <w:rFonts w:ascii="Times New Roman" w:eastAsia="Times New Roman" w:hAnsi="Times New Roman" w:cs="Times New Roman"/>
          <w:sz w:val="20"/>
          <w:szCs w:val="20"/>
        </w:rPr>
        <w:t xml:space="preserve"> </w:t>
      </w:r>
      <w:r w:rsidRPr="00852B22">
        <w:rPr>
          <w:rFonts w:ascii="Times New Roman" w:eastAsia="Times New Roman" w:hAnsi="Times New Roman" w:cs="Times New Roman"/>
          <w:i/>
          <w:iCs/>
          <w:sz w:val="20"/>
          <w:szCs w:val="20"/>
        </w:rPr>
        <w:t>Proceedings of the National Seminar on Law, Business, Science and Technology, 4</w:t>
      </w:r>
      <w:r w:rsidRPr="00852B22">
        <w:rPr>
          <w:rFonts w:ascii="Times New Roman" w:eastAsia="Times New Roman" w:hAnsi="Times New Roman" w:cs="Times New Roman"/>
          <w:sz w:val="20"/>
          <w:szCs w:val="20"/>
        </w:rPr>
        <w:t xml:space="preserve">(1), 176-182. Retrieved from https://ojs.udb.ac.id/index.php/HUBISINTEK/article/view/3720 </w:t>
      </w:r>
    </w:p>
    <w:p w14:paraId="4A56B987" w14:textId="77777777" w:rsidR="00640082" w:rsidRPr="00852B22" w:rsidRDefault="00640082" w:rsidP="00852B22">
      <w:pPr>
        <w:ind w:left="1276" w:hanging="578"/>
        <w:rPr>
          <w:rFonts w:ascii="Times New Roman" w:eastAsia="Times New Roman" w:hAnsi="Times New Roman" w:cs="Times New Roman"/>
          <w:sz w:val="20"/>
          <w:szCs w:val="20"/>
        </w:rPr>
      </w:pPr>
      <w:r w:rsidRPr="00852B22">
        <w:rPr>
          <w:rFonts w:ascii="Times New Roman" w:eastAsia="Times New Roman" w:hAnsi="Times New Roman" w:cs="Times New Roman"/>
          <w:sz w:val="20"/>
          <w:szCs w:val="20"/>
        </w:rPr>
        <w:t xml:space="preserve"> Juanita, G. (2024). The Utilisation of Artificial Intelligence (AI) in the Framework of Pancasila. </w:t>
      </w:r>
      <w:r w:rsidRPr="00852B22">
        <w:rPr>
          <w:rFonts w:ascii="Times New Roman" w:eastAsia="Times New Roman" w:hAnsi="Times New Roman" w:cs="Times New Roman"/>
          <w:i/>
          <w:iCs/>
          <w:sz w:val="20"/>
          <w:szCs w:val="20"/>
        </w:rPr>
        <w:t>Journal of Legal Interpretation, 5</w:t>
      </w:r>
      <w:r w:rsidRPr="00852B22">
        <w:rPr>
          <w:rFonts w:ascii="Times New Roman" w:eastAsia="Times New Roman" w:hAnsi="Times New Roman" w:cs="Times New Roman"/>
          <w:sz w:val="20"/>
          <w:szCs w:val="20"/>
        </w:rPr>
        <w:t xml:space="preserve">(2), 1141-1151. DOI: https://doi.org/10.22225/juinhum.5.2.2024.1141-1151 </w:t>
      </w:r>
    </w:p>
    <w:p w14:paraId="7C1854D1" w14:textId="77777777" w:rsidR="00640082" w:rsidRDefault="00640082" w:rsidP="00852B22">
      <w:pPr>
        <w:ind w:left="1276" w:hanging="578"/>
        <w:rPr>
          <w:rFonts w:ascii="Times New Roman" w:eastAsia="Times New Roman" w:hAnsi="Times New Roman" w:cs="Times New Roman"/>
          <w:sz w:val="20"/>
          <w:szCs w:val="20"/>
        </w:rPr>
      </w:pPr>
      <w:r w:rsidRPr="00852B22">
        <w:rPr>
          <w:rFonts w:ascii="Times New Roman" w:eastAsia="Times New Roman" w:hAnsi="Times New Roman" w:cs="Times New Roman"/>
          <w:sz w:val="20"/>
          <w:szCs w:val="20"/>
        </w:rPr>
        <w:t xml:space="preserve">Putri, I., Dendi, Syukerti, N., Mulyadi. A. I., &amp; Maulana, I. (2022). Social Media as a Medium for Shifting Social Interaction of Teenagers. </w:t>
      </w:r>
      <w:r w:rsidRPr="00852B22">
        <w:rPr>
          <w:rFonts w:ascii="Times New Roman" w:eastAsia="Times New Roman" w:hAnsi="Times New Roman" w:cs="Times New Roman"/>
          <w:i/>
          <w:iCs/>
          <w:sz w:val="20"/>
          <w:szCs w:val="20"/>
        </w:rPr>
        <w:t>Balayudha Journal of Communication Science, 2</w:t>
      </w:r>
      <w:r w:rsidRPr="00852B22">
        <w:rPr>
          <w:rFonts w:ascii="Times New Roman" w:eastAsia="Times New Roman" w:hAnsi="Times New Roman" w:cs="Times New Roman"/>
          <w:sz w:val="20"/>
          <w:szCs w:val="20"/>
        </w:rPr>
        <w:t xml:space="preserve">(2), 1-10. DOI: </w:t>
      </w:r>
      <w:hyperlink r:id="rId41" w:history="1">
        <w:r w:rsidRPr="00852B22">
          <w:rPr>
            <w:rStyle w:val="Hyperlink"/>
            <w:rFonts w:eastAsia="Times New Roman" w:cs="Times New Roman"/>
            <w:sz w:val="20"/>
            <w:szCs w:val="20"/>
          </w:rPr>
          <w:t>https://doi.org/10.56869/jikoba.v2i2.422</w:t>
        </w:r>
      </w:hyperlink>
      <w:r w:rsidRPr="00852B22">
        <w:rPr>
          <w:rFonts w:ascii="Times New Roman" w:eastAsia="Times New Roman" w:hAnsi="Times New Roman" w:cs="Times New Roman"/>
          <w:sz w:val="20"/>
          <w:szCs w:val="20"/>
        </w:rPr>
        <w:t>.</w:t>
      </w:r>
    </w:p>
    <w:p w14:paraId="4C7AE1E4" w14:textId="77777777" w:rsidR="00640082" w:rsidRPr="007B74F5" w:rsidRDefault="00640082" w:rsidP="00852B22">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Bandura, A. (2023). </w:t>
      </w:r>
      <w:r w:rsidRPr="007B74F5">
        <w:rPr>
          <w:rFonts w:ascii="Times New Roman" w:eastAsia="Times New Roman" w:hAnsi="Times New Roman" w:cs="Times New Roman"/>
          <w:i/>
          <w:iCs/>
          <w:sz w:val="20"/>
          <w:szCs w:val="20"/>
        </w:rPr>
        <w:t>Social Cognitive Theory: An Agentic Perspective on Human Nature</w:t>
      </w:r>
      <w:r w:rsidRPr="007B74F5">
        <w:rPr>
          <w:rFonts w:ascii="Times New Roman" w:eastAsia="Times New Roman" w:hAnsi="Times New Roman" w:cs="Times New Roman"/>
          <w:sz w:val="20"/>
          <w:szCs w:val="20"/>
        </w:rPr>
        <w:t>.  John Wiley &amp; Sons, Inc. New Jersey: USA.</w:t>
      </w:r>
    </w:p>
    <w:p w14:paraId="2138CD5C"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Diantama, S. (2024).  Utilisation of Artificial Intelligence (AI) in Education. </w:t>
      </w:r>
      <w:r w:rsidRPr="007B74F5">
        <w:rPr>
          <w:rFonts w:ascii="Times New Roman" w:eastAsia="Times New Roman" w:hAnsi="Times New Roman" w:cs="Times New Roman"/>
          <w:i/>
          <w:iCs/>
          <w:sz w:val="20"/>
          <w:szCs w:val="20"/>
        </w:rPr>
        <w:t>DEWANTECH Journal of Educational Technology, 2</w:t>
      </w:r>
      <w:r w:rsidRPr="007B74F5">
        <w:rPr>
          <w:rFonts w:ascii="Times New Roman" w:eastAsia="Times New Roman" w:hAnsi="Times New Roman" w:cs="Times New Roman"/>
          <w:sz w:val="20"/>
          <w:szCs w:val="20"/>
        </w:rPr>
        <w:t>(1), 11-17. DOI: https://doi.org/10.61434/dewantech.v1i1.8.</w:t>
      </w:r>
    </w:p>
    <w:p w14:paraId="1B2AFA9F"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Dwiartyani, A., Hasan, A. B. P. &amp; Arief, H. (2021). An overview of the grieving process in early adults who experience the loss of family members due to the covid-19 virus. </w:t>
      </w:r>
      <w:r w:rsidRPr="007B74F5">
        <w:rPr>
          <w:rFonts w:ascii="Times New Roman" w:eastAsia="Times New Roman" w:hAnsi="Times New Roman" w:cs="Times New Roman"/>
          <w:i/>
          <w:iCs/>
          <w:sz w:val="20"/>
          <w:szCs w:val="20"/>
        </w:rPr>
        <w:t>Prima Psychology, 4</w:t>
      </w:r>
      <w:r w:rsidRPr="007B74F5">
        <w:rPr>
          <w:rFonts w:ascii="Times New Roman" w:eastAsia="Times New Roman" w:hAnsi="Times New Roman" w:cs="Times New Roman"/>
          <w:sz w:val="20"/>
          <w:szCs w:val="20"/>
        </w:rPr>
        <w:t>(1), 20-32.DOI: https://doi.org/10.34012/psychoprima.v4i1.1864.</w:t>
      </w:r>
    </w:p>
    <w:p w14:paraId="5ADD6214"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Hadiwijaya, A. S. (2023). Synthesis of Social Construction Theory of Reality and Social Construction of Mass Media. </w:t>
      </w:r>
      <w:r w:rsidRPr="007B74F5">
        <w:rPr>
          <w:rFonts w:ascii="Times New Roman" w:eastAsia="Times New Roman" w:hAnsi="Times New Roman" w:cs="Times New Roman"/>
          <w:i/>
          <w:iCs/>
          <w:sz w:val="20"/>
          <w:szCs w:val="20"/>
        </w:rPr>
        <w:t>Dialetika</w:t>
      </w:r>
      <w:r w:rsidRPr="007B74F5">
        <w:rPr>
          <w:rFonts w:ascii="Times New Roman" w:eastAsia="Times New Roman" w:hAnsi="Times New Roman" w:cs="Times New Roman"/>
          <w:sz w:val="20"/>
          <w:szCs w:val="20"/>
        </w:rPr>
        <w:t xml:space="preserve"> </w:t>
      </w:r>
      <w:r w:rsidRPr="007B74F5">
        <w:rPr>
          <w:rFonts w:ascii="Times New Roman" w:eastAsia="Times New Roman" w:hAnsi="Times New Roman" w:cs="Times New Roman"/>
          <w:i/>
          <w:iCs/>
          <w:sz w:val="20"/>
          <w:szCs w:val="20"/>
        </w:rPr>
        <w:t>Komunika: Journal of Communication and Regional Development Studies, 11</w:t>
      </w:r>
      <w:r w:rsidRPr="007B74F5">
        <w:rPr>
          <w:rFonts w:ascii="Times New Roman" w:eastAsia="Times New Roman" w:hAnsi="Times New Roman" w:cs="Times New Roman"/>
          <w:sz w:val="20"/>
          <w:szCs w:val="20"/>
        </w:rPr>
        <w:t>(1), 75-89. Retrived from: https://www.ejournal.unis.ac.id/index.php/DK/article/view/3498.</w:t>
      </w:r>
    </w:p>
    <w:p w14:paraId="7A087B91"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Huda, M. A. (2024). </w:t>
      </w:r>
      <w:r w:rsidRPr="007B74F5">
        <w:rPr>
          <w:rFonts w:ascii="Times New Roman" w:eastAsia="Times New Roman" w:hAnsi="Times New Roman" w:cs="Times New Roman"/>
          <w:i/>
          <w:iCs/>
          <w:sz w:val="20"/>
          <w:szCs w:val="20"/>
        </w:rPr>
        <w:t>Alvara Survey Finds Three AI User Typologies Portrayed by Gen Z to Gen X Differences</w:t>
      </w:r>
      <w:r w:rsidRPr="007B74F5">
        <w:rPr>
          <w:rFonts w:ascii="Times New Roman" w:eastAsia="Times New Roman" w:hAnsi="Times New Roman" w:cs="Times New Roman"/>
          <w:sz w:val="20"/>
          <w:szCs w:val="20"/>
        </w:rPr>
        <w:t>. Retrieved from: https://news.republika.co.id/berita/smvih4487/survei-alvara-temukan-tiga-tipologi-pengguna-ai-terpotret-perbedaan-gen-z-hingga-gen-x.</w:t>
      </w:r>
    </w:p>
    <w:p w14:paraId="327975DE"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Kelly, R. (2024). </w:t>
      </w:r>
      <w:r w:rsidRPr="007B74F5">
        <w:rPr>
          <w:rFonts w:ascii="Times New Roman" w:eastAsia="Times New Roman" w:hAnsi="Times New Roman" w:cs="Times New Roman"/>
          <w:i/>
          <w:iCs/>
          <w:sz w:val="20"/>
          <w:szCs w:val="20"/>
        </w:rPr>
        <w:t>Survey: 86% of Students Already Use AI in Their Studies</w:t>
      </w:r>
      <w:r w:rsidRPr="007B74F5">
        <w:rPr>
          <w:rFonts w:ascii="Times New Roman" w:eastAsia="Times New Roman" w:hAnsi="Times New Roman" w:cs="Times New Roman"/>
          <w:sz w:val="20"/>
          <w:szCs w:val="20"/>
        </w:rPr>
        <w:t>. Retrieved from: https://campustechnology.com/articles/2024/08/28/survey-86-of-students-already-use-ai-in-their-studies.aspx.</w:t>
      </w:r>
    </w:p>
    <w:p w14:paraId="78AB99CA"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Marzal, J. (2019). </w:t>
      </w:r>
      <w:r w:rsidRPr="007B74F5">
        <w:rPr>
          <w:rFonts w:ascii="Times New Roman" w:eastAsia="Times New Roman" w:hAnsi="Times New Roman" w:cs="Times New Roman"/>
          <w:i/>
          <w:iCs/>
          <w:sz w:val="20"/>
          <w:szCs w:val="20"/>
        </w:rPr>
        <w:t>Industrial Revolution 4.0, How to Respond</w:t>
      </w:r>
      <w:r w:rsidRPr="007B74F5">
        <w:rPr>
          <w:rFonts w:ascii="Times New Roman" w:eastAsia="Times New Roman" w:hAnsi="Times New Roman" w:cs="Times New Roman"/>
          <w:sz w:val="20"/>
          <w:szCs w:val="20"/>
        </w:rPr>
        <w:t>. Retrieved from: https://www.unja.ac.id/revolusi-industri-4-0-bagaimana-meresponnya/.</w:t>
      </w:r>
    </w:p>
    <w:p w14:paraId="6A37D9E9"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Milawati, M., &amp; Widyastuti, W. (2023). Grief in Adolescent Girls After the Death of Parents Due to Covid-19. </w:t>
      </w:r>
      <w:r w:rsidRPr="007B74F5">
        <w:rPr>
          <w:rFonts w:ascii="Times New Roman" w:eastAsia="Times New Roman" w:hAnsi="Times New Roman" w:cs="Times New Roman"/>
          <w:i/>
          <w:iCs/>
          <w:sz w:val="20"/>
          <w:szCs w:val="20"/>
        </w:rPr>
        <w:t>Journal of Social, Political and Humanities Research, 2</w:t>
      </w:r>
      <w:r w:rsidRPr="007B74F5">
        <w:rPr>
          <w:rFonts w:ascii="Times New Roman" w:eastAsia="Times New Roman" w:hAnsi="Times New Roman" w:cs="Times New Roman"/>
          <w:sz w:val="20"/>
          <w:szCs w:val="20"/>
        </w:rPr>
        <w:t>(1), 159-172. DOI: https://doi.org/10.55606/jurrish.v2i1.788.</w:t>
      </w:r>
    </w:p>
    <w:p w14:paraId="7BAF9F79"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Ngafifi, M. (2014). Technological Advancement and Human Life Pattern in Socio-Cultural Perspective.’ </w:t>
      </w:r>
      <w:r w:rsidRPr="007B74F5">
        <w:rPr>
          <w:rFonts w:ascii="Times New Roman" w:eastAsia="Times New Roman" w:hAnsi="Times New Roman" w:cs="Times New Roman"/>
          <w:i/>
          <w:iCs/>
          <w:sz w:val="20"/>
          <w:szCs w:val="20"/>
        </w:rPr>
        <w:t>Journal of Educational Development: Foundations and Applications, 2</w:t>
      </w:r>
      <w:r w:rsidRPr="007B74F5">
        <w:rPr>
          <w:rFonts w:ascii="Times New Roman" w:eastAsia="Times New Roman" w:hAnsi="Times New Roman" w:cs="Times New Roman"/>
          <w:sz w:val="20"/>
          <w:szCs w:val="20"/>
        </w:rPr>
        <w:t>(1), 33-47. DOI: https://doi.org/10.21831/jppfa.v2i1.2616.</w:t>
      </w:r>
    </w:p>
    <w:p w14:paraId="1B85F160"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Patra, B. &amp; Kumar, M. (2020). Natural Language Processing in Chatbots: A Review. </w:t>
      </w:r>
      <w:r w:rsidRPr="007B74F5">
        <w:rPr>
          <w:rFonts w:ascii="Times New Roman" w:eastAsia="Times New Roman" w:hAnsi="Times New Roman" w:cs="Times New Roman"/>
          <w:i/>
          <w:iCs/>
          <w:sz w:val="20"/>
          <w:szCs w:val="20"/>
        </w:rPr>
        <w:t>Turkish Journal of Computer and Mathematics Education, 11</w:t>
      </w:r>
      <w:r w:rsidRPr="007B74F5">
        <w:rPr>
          <w:rFonts w:ascii="Times New Roman" w:eastAsia="Times New Roman" w:hAnsi="Times New Roman" w:cs="Times New Roman"/>
          <w:sz w:val="20"/>
          <w:szCs w:val="20"/>
        </w:rPr>
        <w:t>(3), 2890-2894. DOI: https://doi.org/10.61841/turcomat.v11i3.14655.</w:t>
      </w:r>
    </w:p>
    <w:p w14:paraId="7C89B2A2"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Pramana, Chairunnisa, W. P., Prahastiwi, U., Rifqi A. A., &amp; Eli, P. (2023). Adapting to Technological Change Artificial Intelligence and the Evolution of Interpersonal Communication. </w:t>
      </w:r>
      <w:r w:rsidRPr="007B74F5">
        <w:rPr>
          <w:rFonts w:ascii="Times New Roman" w:eastAsia="Times New Roman" w:hAnsi="Times New Roman" w:cs="Times New Roman"/>
          <w:i/>
          <w:iCs/>
          <w:sz w:val="20"/>
          <w:szCs w:val="20"/>
        </w:rPr>
        <w:t>Scientific Journal of Social Dynamics, 7</w:t>
      </w:r>
      <w:r w:rsidRPr="007B74F5">
        <w:rPr>
          <w:rFonts w:ascii="Times New Roman" w:eastAsia="Times New Roman" w:hAnsi="Times New Roman" w:cs="Times New Roman"/>
          <w:sz w:val="20"/>
          <w:szCs w:val="20"/>
        </w:rPr>
        <w:t>(2), 214-225. DOI: https://doi.org/10.38043/jids.v6i1.4909.</w:t>
      </w:r>
    </w:p>
    <w:p w14:paraId="4996EAFC"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Singarimbun, M. &amp; Effendi, S. (1995). </w:t>
      </w:r>
      <w:r w:rsidRPr="007B74F5">
        <w:rPr>
          <w:rFonts w:ascii="Times New Roman" w:eastAsia="Times New Roman" w:hAnsi="Times New Roman" w:cs="Times New Roman"/>
          <w:i/>
          <w:iCs/>
          <w:sz w:val="20"/>
          <w:szCs w:val="20"/>
        </w:rPr>
        <w:t>Survey Research Methods</w:t>
      </w:r>
      <w:r w:rsidRPr="007B74F5">
        <w:rPr>
          <w:rFonts w:ascii="Times New Roman" w:eastAsia="Times New Roman" w:hAnsi="Times New Roman" w:cs="Times New Roman"/>
          <w:sz w:val="20"/>
          <w:szCs w:val="20"/>
        </w:rPr>
        <w:t>. Jakarta: LP3ES Library.</w:t>
      </w:r>
    </w:p>
    <w:p w14:paraId="3DC1A262"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Sitorus, M. &amp; Murti, M. D. F. (2024). Analysis of the Effect of Using Artificial Intelligence on Learning at Cyber University. </w:t>
      </w:r>
      <w:r w:rsidRPr="007B74F5">
        <w:rPr>
          <w:rFonts w:ascii="Times New Roman" w:eastAsia="Times New Roman" w:hAnsi="Times New Roman" w:cs="Times New Roman"/>
          <w:i/>
          <w:iCs/>
          <w:sz w:val="20"/>
          <w:szCs w:val="20"/>
        </w:rPr>
        <w:t>Journal of Computer Science, Information Systems &amp; Information Technology (Innotech), 1</w:t>
      </w:r>
      <w:r w:rsidRPr="007B74F5">
        <w:rPr>
          <w:rFonts w:ascii="Times New Roman" w:eastAsia="Times New Roman" w:hAnsi="Times New Roman" w:cs="Times New Roman"/>
          <w:sz w:val="20"/>
          <w:szCs w:val="20"/>
        </w:rPr>
        <w:t>(2), 90-101. Retrieved from: https://ejournal.cyber-univ.ac.id/index.php/innotech/article/view/51.</w:t>
      </w:r>
    </w:p>
    <w:p w14:paraId="487F6577"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Tjahyanti, L. P. A. S., Saputra, P. S., &amp; Gitakarma, M. S. (2022). The Role of Artificial Intelligence (AI) to Support Learning during the Covid-19 Pandemic. </w:t>
      </w:r>
      <w:r w:rsidRPr="007B74F5">
        <w:rPr>
          <w:rFonts w:ascii="Times New Roman" w:eastAsia="Times New Roman" w:hAnsi="Times New Roman" w:cs="Times New Roman"/>
          <w:i/>
          <w:iCs/>
          <w:sz w:val="20"/>
          <w:szCs w:val="20"/>
        </w:rPr>
        <w:t>Journal of Computer and Science Technology (KOMTEKS), 1</w:t>
      </w:r>
      <w:r w:rsidRPr="007B74F5">
        <w:rPr>
          <w:rFonts w:ascii="Times New Roman" w:eastAsia="Times New Roman" w:hAnsi="Times New Roman" w:cs="Times New Roman"/>
          <w:sz w:val="20"/>
          <w:szCs w:val="20"/>
        </w:rPr>
        <w:t>(1), 15-17. Retrieved from: https://ejournal.unipas.ac.id/index.php/Komteks/article/view/1062/791.</w:t>
      </w:r>
    </w:p>
    <w:p w14:paraId="5A64543B"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Wiryasaputra, T. S. (2019). </w:t>
      </w:r>
      <w:r w:rsidRPr="007B74F5">
        <w:rPr>
          <w:rFonts w:ascii="Times New Roman" w:eastAsia="Times New Roman" w:hAnsi="Times New Roman" w:cs="Times New Roman"/>
          <w:i/>
          <w:iCs/>
          <w:sz w:val="20"/>
          <w:szCs w:val="20"/>
        </w:rPr>
        <w:t>Grief Psychotherapy: Psychotherapy of Grief</w:t>
      </w:r>
      <w:r w:rsidRPr="007B74F5">
        <w:rPr>
          <w:rFonts w:ascii="Times New Roman" w:eastAsia="Times New Roman" w:hAnsi="Times New Roman" w:cs="Times New Roman"/>
          <w:sz w:val="20"/>
          <w:szCs w:val="20"/>
        </w:rPr>
        <w:t>. Yogyakarta: Reference Library.</w:t>
      </w:r>
    </w:p>
    <w:p w14:paraId="560038A5" w14:textId="77777777" w:rsidR="00640082" w:rsidRPr="007B74F5" w:rsidRDefault="00640082" w:rsidP="007B74F5">
      <w:pPr>
        <w:ind w:left="1276" w:hanging="578"/>
        <w:rPr>
          <w:rFonts w:ascii="Times New Roman" w:eastAsia="Times New Roman" w:hAnsi="Times New Roman" w:cs="Times New Roman"/>
          <w:sz w:val="20"/>
          <w:szCs w:val="20"/>
        </w:rPr>
      </w:pPr>
      <w:r w:rsidRPr="007B74F5">
        <w:rPr>
          <w:rFonts w:ascii="Times New Roman" w:eastAsia="Times New Roman" w:hAnsi="Times New Roman" w:cs="Times New Roman"/>
          <w:sz w:val="20"/>
          <w:szCs w:val="20"/>
        </w:rPr>
        <w:t xml:space="preserve">Yoga, S. (2019). Socio-Cultural Changes in Indonesian Society and the Development of Communication Technology. </w:t>
      </w:r>
      <w:r w:rsidRPr="007B74F5">
        <w:rPr>
          <w:rFonts w:ascii="Times New Roman" w:eastAsia="Times New Roman" w:hAnsi="Times New Roman" w:cs="Times New Roman"/>
          <w:i/>
          <w:iCs/>
          <w:sz w:val="20"/>
          <w:szCs w:val="20"/>
        </w:rPr>
        <w:t>Al-Bayan Journal: Media for the Study and Development of Da'wah Science, 24</w:t>
      </w:r>
      <w:r w:rsidRPr="007B74F5">
        <w:rPr>
          <w:rFonts w:ascii="Times New Roman" w:eastAsia="Times New Roman" w:hAnsi="Times New Roman" w:cs="Times New Roman"/>
          <w:sz w:val="20"/>
          <w:szCs w:val="20"/>
        </w:rPr>
        <w:t>(1), 29-46. DOI: http://dx.doi.org/10.22373/albayan.v24i1.3175.</w:t>
      </w:r>
    </w:p>
    <w:p w14:paraId="0253A93B" w14:textId="77777777" w:rsidR="00124A54" w:rsidRDefault="00124A54" w:rsidP="00124A54">
      <w:pPr>
        <w:ind w:left="0"/>
      </w:pPr>
    </w:p>
    <w:p w14:paraId="5318EDA3" w14:textId="77777777" w:rsidR="00124A54" w:rsidRDefault="00124A54" w:rsidP="00124A54">
      <w:pPr>
        <w:ind w:left="0"/>
      </w:pPr>
    </w:p>
    <w:p w14:paraId="79C87E15" w14:textId="77777777" w:rsidR="00124A54" w:rsidRDefault="00124A54">
      <w:r>
        <w:br w:type="page"/>
      </w:r>
    </w:p>
    <w:p w14:paraId="001EAE3F" w14:textId="78D1AE31" w:rsidR="00640082" w:rsidRPr="00124A54" w:rsidRDefault="00640082" w:rsidP="008E37C0">
      <w:pPr>
        <w:pStyle w:val="Heading1"/>
      </w:pPr>
      <w:bookmarkStart w:id="19" w:name="_Toc197537599"/>
      <w:r w:rsidRPr="00124A54">
        <w:t>The Ethics of AI-Powered Conversations: Exploring the Controversions Surrounding Chatbot AI</w:t>
      </w:r>
      <w:bookmarkEnd w:id="19"/>
    </w:p>
    <w:p w14:paraId="72EBEA48" w14:textId="77777777" w:rsidR="00124A54" w:rsidRPr="00124A54" w:rsidRDefault="00124A54" w:rsidP="00124A54">
      <w:pPr>
        <w:ind w:left="0"/>
        <w:jc w:val="center"/>
        <w:rPr>
          <w:rFonts w:ascii="Times New Roman" w:hAnsi="Times New Roman" w:cs="Times New Roman"/>
          <w:b/>
          <w:sz w:val="32"/>
          <w:szCs w:val="32"/>
        </w:rPr>
      </w:pPr>
    </w:p>
    <w:p w14:paraId="4248AAEA" w14:textId="446E39C0" w:rsidR="00124A54" w:rsidRPr="005565EB" w:rsidRDefault="00640082" w:rsidP="005565EB">
      <w:pPr>
        <w:pStyle w:val="Heading2"/>
        <w:rPr>
          <w:rFonts w:eastAsia="Times New Roman"/>
          <w:vertAlign w:val="superscript"/>
        </w:rPr>
      </w:pPr>
      <w:bookmarkStart w:id="20" w:name="_Toc197537600"/>
      <w:r w:rsidRPr="00124A54">
        <w:t>Azka Nur Khalila</w:t>
      </w:r>
      <w:r w:rsidR="00124A54" w:rsidRPr="00124A54">
        <w:rPr>
          <w:rFonts w:eastAsia="Times New Roman"/>
          <w:vertAlign w:val="superscript"/>
        </w:rPr>
        <w:t>1</w:t>
      </w:r>
      <w:r w:rsidRPr="00124A54">
        <w:t>, Shakira Azizah</w:t>
      </w:r>
      <w:r w:rsidR="00124A54" w:rsidRPr="00124A54">
        <w:rPr>
          <w:rFonts w:eastAsia="Times New Roman"/>
          <w:vertAlign w:val="superscript"/>
        </w:rPr>
        <w:t>2</w:t>
      </w:r>
      <w:r w:rsidRPr="00124A54">
        <w:t>, Laillan Nurcahyaningsih</w:t>
      </w:r>
      <w:r w:rsidR="00124A54" w:rsidRPr="00124A54">
        <w:rPr>
          <w:rFonts w:eastAsia="Times New Roman"/>
          <w:vertAlign w:val="superscript"/>
        </w:rPr>
        <w:t>3</w:t>
      </w:r>
      <w:r w:rsidRPr="00124A54">
        <w:t>, Hanna Monalisa</w:t>
      </w:r>
      <w:r w:rsidR="00124A54" w:rsidRPr="00124A54">
        <w:rPr>
          <w:rFonts w:eastAsia="Times New Roman"/>
          <w:vertAlign w:val="superscript"/>
        </w:rPr>
        <w:t>4</w:t>
      </w:r>
      <w:r w:rsidRPr="00124A54">
        <w:t>, Musdalifah</w:t>
      </w:r>
      <w:r w:rsidR="00124A54" w:rsidRPr="00124A54">
        <w:rPr>
          <w:rFonts w:eastAsia="Times New Roman"/>
          <w:vertAlign w:val="superscript"/>
        </w:rPr>
        <w:t>5</w:t>
      </w:r>
      <w:r w:rsidRPr="00124A54">
        <w:t>, Rina Juwita</w:t>
      </w:r>
      <w:r w:rsidR="00124A54" w:rsidRPr="00124A54">
        <w:rPr>
          <w:rFonts w:eastAsia="Times New Roman"/>
          <w:vertAlign w:val="superscript"/>
        </w:rPr>
        <w:t>6</w:t>
      </w:r>
      <w:bookmarkEnd w:id="20"/>
    </w:p>
    <w:p w14:paraId="4060A706" w14:textId="699F0EED" w:rsidR="00640082" w:rsidRPr="005565EB" w:rsidRDefault="005565EB"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3D6999E6" w14:textId="1109BC17" w:rsidR="00124A54"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2" w:history="1">
        <w:r w:rsidRPr="005565EB">
          <w:rPr>
            <w:rStyle w:val="Hyperlink"/>
            <w:rFonts w:ascii="Times New Roman" w:hAnsi="Times New Roman" w:cs="Times New Roman"/>
            <w:sz w:val="24"/>
            <w:szCs w:val="24"/>
          </w:rPr>
          <w:t>nurkhalilaazka@gmail.com</w:t>
        </w:r>
      </w:hyperlink>
    </w:p>
    <w:p w14:paraId="1DDB6D82" w14:textId="790775FE" w:rsidR="00640082" w:rsidRPr="005565EB" w:rsidRDefault="005565EB"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65195F8B" w14:textId="3D818337" w:rsidR="00124A54"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3" w:history="1">
        <w:r w:rsidRPr="005565EB">
          <w:rPr>
            <w:rStyle w:val="Hyperlink"/>
            <w:rFonts w:ascii="Times New Roman" w:hAnsi="Times New Roman" w:cs="Times New Roman"/>
            <w:sz w:val="24"/>
            <w:szCs w:val="24"/>
          </w:rPr>
          <w:t>shakiraazizah0@gmail.com</w:t>
        </w:r>
      </w:hyperlink>
    </w:p>
    <w:p w14:paraId="4521BF76" w14:textId="4DCB6F09" w:rsidR="00640082" w:rsidRPr="005565EB" w:rsidRDefault="00C947A5"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17D4E28F" w14:textId="2C93AC0C" w:rsidR="00124A54"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4" w:history="1">
        <w:r w:rsidRPr="005565EB">
          <w:rPr>
            <w:rStyle w:val="Hyperlink"/>
            <w:rFonts w:ascii="Times New Roman" w:hAnsi="Times New Roman" w:cs="Times New Roman"/>
            <w:sz w:val="24"/>
            <w:szCs w:val="24"/>
          </w:rPr>
          <w:t>laiikuliah99@gmail.com</w:t>
        </w:r>
      </w:hyperlink>
    </w:p>
    <w:p w14:paraId="4F701D32" w14:textId="23A378E3" w:rsidR="00640082" w:rsidRPr="005565EB" w:rsidRDefault="00C947A5"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4</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04EE264B" w14:textId="383C24BF" w:rsidR="00124A54"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5" w:history="1">
        <w:r w:rsidRPr="005565EB">
          <w:rPr>
            <w:rStyle w:val="Hyperlink"/>
            <w:rFonts w:ascii="Times New Roman" w:hAnsi="Times New Roman" w:cs="Times New Roman"/>
            <w:sz w:val="24"/>
            <w:szCs w:val="24"/>
          </w:rPr>
          <w:t>hannamonalisabrginting@gmail.com</w:t>
        </w:r>
      </w:hyperlink>
    </w:p>
    <w:p w14:paraId="5BD465A3" w14:textId="3F1AFB04" w:rsidR="00640082" w:rsidRPr="005565EB" w:rsidRDefault="00C947A5"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5</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724A4E83" w14:textId="765A8BCD" w:rsidR="00CB77A7"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6" w:history="1">
        <w:r w:rsidRPr="005565EB">
          <w:rPr>
            <w:rStyle w:val="Hyperlink"/>
            <w:rFonts w:ascii="Times New Roman" w:hAnsi="Times New Roman" w:cs="Times New Roman"/>
            <w:sz w:val="24"/>
            <w:szCs w:val="24"/>
          </w:rPr>
          <w:t>musdalifah12014@gmail.com</w:t>
        </w:r>
      </w:hyperlink>
    </w:p>
    <w:p w14:paraId="2B1532BD" w14:textId="69CD637D" w:rsidR="00640082" w:rsidRPr="005565EB" w:rsidRDefault="00C947A5" w:rsidP="005565EB">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6</w:t>
      </w:r>
      <w:r w:rsidR="00640082" w:rsidRPr="005565EB">
        <w:rPr>
          <w:rFonts w:ascii="Times New Roman" w:hAnsi="Times New Roman" w:cs="Times New Roman"/>
          <w:sz w:val="24"/>
          <w:szCs w:val="24"/>
        </w:rPr>
        <w:t>Communication Science Study Program, Faculty of Social and Political Science, Mulawarman University, Samarinda, East Kalimantan, Indonesia</w:t>
      </w:r>
    </w:p>
    <w:p w14:paraId="5D171F13" w14:textId="06E7B8CF" w:rsidR="00640082" w:rsidRPr="005565EB" w:rsidRDefault="00640082" w:rsidP="005565EB">
      <w:pPr>
        <w:spacing w:line="240" w:lineRule="auto"/>
        <w:jc w:val="center"/>
        <w:rPr>
          <w:rFonts w:ascii="Times New Roman" w:hAnsi="Times New Roman" w:cs="Times New Roman"/>
          <w:sz w:val="24"/>
          <w:szCs w:val="24"/>
        </w:rPr>
      </w:pPr>
      <w:r w:rsidRPr="005565EB">
        <w:rPr>
          <w:rFonts w:ascii="Times New Roman" w:hAnsi="Times New Roman" w:cs="Times New Roman"/>
          <w:sz w:val="24"/>
          <w:szCs w:val="24"/>
        </w:rPr>
        <w:t xml:space="preserve">Email: </w:t>
      </w:r>
      <w:hyperlink r:id="rId47" w:history="1">
        <w:r w:rsidRPr="005565EB">
          <w:rPr>
            <w:rStyle w:val="Hyperlink"/>
            <w:rFonts w:ascii="Times New Roman" w:hAnsi="Times New Roman" w:cs="Times New Roman"/>
            <w:sz w:val="24"/>
            <w:szCs w:val="24"/>
          </w:rPr>
          <w:t>rinajuwita@fisip.unmul.ac.id</w:t>
        </w:r>
      </w:hyperlink>
    </w:p>
    <w:p w14:paraId="6E3D6590" w14:textId="77777777" w:rsidR="005565EB" w:rsidRPr="00CD5947" w:rsidRDefault="005565EB" w:rsidP="00CB77A7">
      <w:pPr>
        <w:jc w:val="center"/>
        <w:rPr>
          <w:rFonts w:ascii="Times New Roman" w:hAnsi="Times New Roman" w:cs="Times New Roman"/>
          <w:sz w:val="20"/>
          <w:szCs w:val="20"/>
        </w:rPr>
      </w:pPr>
    </w:p>
    <w:p w14:paraId="1294BAAF" w14:textId="154B1D9D" w:rsidR="00640082" w:rsidRPr="00124A54" w:rsidRDefault="00640082" w:rsidP="00124A54">
      <w:pPr>
        <w:jc w:val="center"/>
        <w:rPr>
          <w:rFonts w:ascii="Times New Roman" w:hAnsi="Times New Roman"/>
        </w:rPr>
      </w:pPr>
      <w:r w:rsidRPr="00CD5947">
        <w:rPr>
          <w:rFonts w:ascii="Times New Roman" w:hAnsi="Times New Roman"/>
        </w:rPr>
        <w:t xml:space="preserve">*Corresponding Author: </w:t>
      </w:r>
      <w:hyperlink r:id="rId48" w:history="1">
        <w:r w:rsidRPr="00CD5947">
          <w:rPr>
            <w:rStyle w:val="Hyperlink"/>
            <w:rFonts w:cs="Times New Roman"/>
            <w:sz w:val="20"/>
            <w:szCs w:val="20"/>
          </w:rPr>
          <w:t>nurkhalilaazka@gmail.com</w:t>
        </w:r>
      </w:hyperlink>
    </w:p>
    <w:p w14:paraId="6ECA899D" w14:textId="77777777" w:rsidR="00640082" w:rsidRPr="00CD5947" w:rsidRDefault="00640082" w:rsidP="00403F78">
      <w:pPr>
        <w:pStyle w:val="BodyText"/>
        <w:spacing w:before="72"/>
        <w:ind w:left="720"/>
        <w:jc w:val="center"/>
        <w:rPr>
          <w:rFonts w:ascii="Times New Roman" w:eastAsia="Arial" w:hAnsi="Times New Roman" w:cs="Times New Roman"/>
          <w:b/>
          <w:bCs/>
          <w:color w:val="000000" w:themeColor="text1"/>
          <w:spacing w:val="-2"/>
          <w:sz w:val="20"/>
          <w:szCs w:val="20"/>
        </w:rPr>
      </w:pPr>
      <w:r w:rsidRPr="00CD5947">
        <w:rPr>
          <w:rFonts w:ascii="Times New Roman" w:eastAsia="Arial" w:hAnsi="Times New Roman" w:cs="Times New Roman"/>
          <w:b/>
          <w:bCs/>
          <w:color w:val="000000" w:themeColor="text1"/>
          <w:spacing w:val="-2"/>
          <w:sz w:val="20"/>
          <w:szCs w:val="20"/>
        </w:rPr>
        <w:t>ABSTRACT</w:t>
      </w:r>
    </w:p>
    <w:p w14:paraId="6B0E3528" w14:textId="77777777" w:rsidR="00640082" w:rsidRPr="00CD5947" w:rsidRDefault="00640082" w:rsidP="00886C64">
      <w:pPr>
        <w:pStyle w:val="BodyText"/>
        <w:spacing w:before="72"/>
        <w:jc w:val="center"/>
        <w:rPr>
          <w:rFonts w:ascii="Times New Roman" w:hAnsi="Times New Roman" w:cs="Times New Roman"/>
          <w:b/>
          <w:color w:val="000000" w:themeColor="text1"/>
          <w:sz w:val="20"/>
          <w:szCs w:val="20"/>
        </w:rPr>
      </w:pPr>
    </w:p>
    <w:p w14:paraId="1B1A39BE" w14:textId="77777777" w:rsidR="00640082" w:rsidRPr="00A22ECE" w:rsidRDefault="00640082" w:rsidP="00A22ECE">
      <w:pPr>
        <w:spacing w:line="240" w:lineRule="auto"/>
        <w:ind w:left="1440"/>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Platforms based on artificial intelligence, such as chatbots, are evolving as technology grows. Regarding the legitimacy of communication in human-AI interactions, the platform presents important issues that need to be addressed. With character.ai, users can have dynamic discussions with human-built AI personalities, resulting in realistic dialogues. The ethical implications of AI-driven conversations are investigated in this study, with a particular emphasis on how conversations blur the lines between human and AI communication. Among the most significant issues are the potential for users to develop an emotional connection with AI characters, the maintenance of prejudice in AI-created dialogues, and the lack of transparency in the platform's use of data. The study investigates how the use of such technology affects users' views of trust, authenticity, and control over their own relationships with others. This study uses a systematic review method to analyze how artificial intelligence (AI) affects personal communication, especially from an ethical perspective. The main focus of this research is on issues such as privacy, bias, trust, and changes in communication styles due to the use of AI. The results highlight the importance of striking a balance between technical innovation and ethical responsibility to avoid communication driven by AI chatbots so as not to jeopardize interpersonal relationships.</w:t>
      </w:r>
    </w:p>
    <w:p w14:paraId="5825EB63" w14:textId="4BF5D8C5" w:rsidR="00640082" w:rsidRPr="00380B1B" w:rsidRDefault="00640082" w:rsidP="005565EB">
      <w:pPr>
        <w:pStyle w:val="BodyText"/>
        <w:numPr>
          <w:ilvl w:val="0"/>
          <w:numId w:val="25"/>
        </w:numPr>
        <w:spacing w:before="18"/>
        <w:ind w:left="1440"/>
        <w:jc w:val="both"/>
        <w:rPr>
          <w:rFonts w:ascii="Times New Roman" w:hAnsi="Times New Roman" w:cs="Times New Roman"/>
          <w:b/>
          <w:color w:val="000000" w:themeColor="text1"/>
        </w:rPr>
      </w:pPr>
      <w:r w:rsidRPr="00380B1B">
        <w:rPr>
          <w:rFonts w:ascii="Times New Roman" w:hAnsi="Times New Roman" w:cs="Times New Roman"/>
          <w:b/>
          <w:bCs/>
          <w:color w:val="000000" w:themeColor="text1"/>
        </w:rPr>
        <w:t>Introduction</w:t>
      </w:r>
    </w:p>
    <w:p w14:paraId="41C42C1A" w14:textId="77777777" w:rsidR="00640082" w:rsidRPr="00CD5947"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The profound transformation in digital communication, particularly in conversational agents, </w:t>
      </w:r>
    </w:p>
    <w:p w14:paraId="1DDCB3F2" w14:textId="77777777" w:rsidR="00640082" w:rsidRPr="00CD5947" w:rsidRDefault="00640082" w:rsidP="00403F78">
      <w:pPr>
        <w:pStyle w:val="BodyText"/>
        <w:ind w:left="144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is the result of rapid advances in Artificial Intelligence (AI). This has changed the way humans interact with machines. It was originally developed to improve the convenience and accessibility of customer service and support. Then as technology advances, AI-powered chatbots have expanded their applications to various sectors, including healthcare, personal assistance, and education. This research will explore the impacts, challenges, and solutions to solve problems regarding the use of AI chatbots. </w:t>
      </w:r>
    </w:p>
    <w:p w14:paraId="36EFFDDE" w14:textId="77777777" w:rsidR="00640082" w:rsidRPr="00CD5947"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The potential for misrepresentation in AI-driven interactions presents significant ethical challenges. Users may not always realize that they are talking to a machine and not a human, as conversational agents are increasingly engineered to seamlessly mimic human language and behavior. This ambiguity has the potential to deceive users into believing that the interaction is genuine, which raises ethical issues regarding user autonomy and consent. The ethical principle of transparency requires developers to explicitly disclose the AI nature of these chatbots, thereby equipping users with the necessary information to engage with informed awareness. Research shows that revealing AI identities in conversations can reduce feelings of betrayal and increase trust, thus emphasizing the importance of transparency in AI design (Hohenstein &amp; Jung, 2018; Rosenberg, 2023).</w:t>
      </w:r>
    </w:p>
    <w:p w14:paraId="2FEAF4E8" w14:textId="77777777" w:rsidR="00640082"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The ethical implications of this widespread integration have sparked fierce debate, particularly as the distinction between human interaction and AI-generated responses becomes increasingly blurred. The transparency, accountability, and social-emotional consequences of these systems are ethical issues that require a more thorough investigation into AI's capabilities and constraints in simulating human-like conversations (Endacott &amp; Leonardi, 2022). Additionally, </w:t>
      </w:r>
      <w:r w:rsidRPr="00CD5947">
        <w:rPr>
          <w:rFonts w:ascii="Times New Roman" w:hAnsi="Times New Roman" w:cs="Times New Roman"/>
          <w:color w:val="000000" w:themeColor="text1"/>
          <w:w w:val="105"/>
          <w:sz w:val="20"/>
          <w:szCs w:val="20"/>
        </w:rPr>
        <w:t>conversations with AI present additional ethical challenges when it comes to data privacy and security, as systems often access and process users' personal data. This triggers far-reaching consequences such as the erosion of user trust and exposing them to the risks associated with misuse of their data (Hohenstein &amp; Jung, 2018). The need for strict and ethical data protection measures is needed to ensure data privacy and security.</w:t>
      </w:r>
    </w:p>
    <w:p w14:paraId="63C23827" w14:textId="77777777" w:rsidR="00640082" w:rsidRPr="00CD5947"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AI is created by humans, so it is likely to be exposed to bias. Therefore, it is important to address algorithmic issues in AI systems. Trained conversational agents often contain biases resulting from training the system based on the values espoused by the developer. This can then affect the AI response.  Biases in AI training data can result in discriminatory outcomes during interactions, marginalize certain groups, and perpetuate stereotypes automatically and unintentionally (Raharjo, 2023). It's crucial to address this bias, as AI-driven decisions and responses must be fair and respectful of all demographic categories. Initiatives to reduce bias and fairness in AI training can mitigate these risks and build a more inclusive experience for users from diverse backgrounds (Kuss &amp; </w:t>
      </w:r>
      <w:proofErr w:type="spellStart"/>
      <w:r w:rsidRPr="00CD5947">
        <w:rPr>
          <w:rFonts w:ascii="Times New Roman" w:hAnsi="Times New Roman" w:cs="Times New Roman"/>
          <w:color w:val="000000" w:themeColor="text1"/>
          <w:sz w:val="20"/>
          <w:szCs w:val="20"/>
        </w:rPr>
        <w:t>Leenes</w:t>
      </w:r>
      <w:proofErr w:type="spellEnd"/>
      <w:r w:rsidRPr="00CD5947">
        <w:rPr>
          <w:rFonts w:ascii="Times New Roman" w:hAnsi="Times New Roman" w:cs="Times New Roman"/>
          <w:color w:val="000000" w:themeColor="text1"/>
          <w:sz w:val="20"/>
          <w:szCs w:val="20"/>
        </w:rPr>
        <w:t>, 2020) (Wambsganss et al., 2021).</w:t>
      </w:r>
    </w:p>
    <w:p w14:paraId="2CF12223" w14:textId="77777777" w:rsidR="00640082" w:rsidRPr="00CD5947"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Significant concerns also arise in questions about accountability and responsibility associated with AI actions. AI chatbot errors and crashes are triggered from various sides due to the autonomous nature of this system. This ambiguity raises ethical dilemmas regarding liability and reparations and challenges conventional accountability frameworks. Academics advocate the implementation of more transparent accountability measures that will ensure that developers and companies are accountable for the impact of AI chatbot actions, thereby encouraging a higher level of public trust in this technology (Wambsganss et al., 2021).  This problem is exacerbated by the fact that AI restricts users so that it cannot judge whether the data used to train it is fair or representative. This makes bias difficult to detect and handle. Therefore, research that runs machine learning is fair, accountable, and transparent (Raharjo, 2023).</w:t>
      </w:r>
    </w:p>
    <w:p w14:paraId="39B756C2" w14:textId="4441FDC8" w:rsidR="00640082" w:rsidRDefault="00640082" w:rsidP="00403F78">
      <w:pPr>
        <w:pStyle w:val="BodyText"/>
        <w:ind w:left="1440" w:firstLine="720"/>
        <w:jc w:val="both"/>
        <w:rPr>
          <w:rFonts w:ascii="Times New Roman" w:hAnsi="Times New Roman" w:cs="Times New Roman"/>
          <w:color w:val="000000" w:themeColor="text1"/>
          <w:spacing w:val="-2"/>
          <w:sz w:val="20"/>
          <w:szCs w:val="20"/>
        </w:rPr>
      </w:pPr>
      <w:r w:rsidRPr="00CD5947">
        <w:rPr>
          <w:rFonts w:ascii="Times New Roman" w:hAnsi="Times New Roman" w:cs="Times New Roman"/>
          <w:color w:val="000000" w:themeColor="text1"/>
          <w:sz w:val="20"/>
          <w:szCs w:val="20"/>
        </w:rPr>
        <w:t xml:space="preserve">The affective impact of AI interactions on users is a very nuanced ethical concern. Emotionally intelligent chatbots have the potential to drive emotional attachment or dependence on these systems, potentially affecting users' emotional well-being and interpersonal relationships. This is due to the fact that they can simulate empathy and friendship. This phenomenon is particularly worrisome for vulnerable populations, including the elderly and those in need of mental health support, who may be trapped in interaction with AI in the absence of human interaction (Kot &amp; </w:t>
      </w:r>
      <w:proofErr w:type="spellStart"/>
      <w:r w:rsidRPr="00CD5947">
        <w:rPr>
          <w:rFonts w:ascii="Times New Roman" w:hAnsi="Times New Roman" w:cs="Times New Roman"/>
          <w:color w:val="000000" w:themeColor="text1"/>
          <w:sz w:val="20"/>
          <w:szCs w:val="20"/>
        </w:rPr>
        <w:t>Leszczyÿski</w:t>
      </w:r>
      <w:proofErr w:type="spellEnd"/>
      <w:r w:rsidRPr="00CD5947">
        <w:rPr>
          <w:rFonts w:ascii="Times New Roman" w:hAnsi="Times New Roman" w:cs="Times New Roman"/>
          <w:color w:val="000000" w:themeColor="text1"/>
          <w:sz w:val="20"/>
          <w:szCs w:val="20"/>
        </w:rPr>
        <w:t>, 2022).</w:t>
      </w:r>
    </w:p>
    <w:p w14:paraId="4988133D" w14:textId="167EC904" w:rsidR="00640082" w:rsidRPr="00403F78" w:rsidRDefault="00640082" w:rsidP="00403F78">
      <w:pPr>
        <w:pStyle w:val="BodyText"/>
        <w:ind w:left="1440" w:firstLine="720"/>
        <w:jc w:val="both"/>
        <w:rPr>
          <w:rFonts w:ascii="Times New Roman" w:hAnsi="Times New Roman" w:cs="Times New Roman"/>
          <w:color w:val="000000" w:themeColor="text1"/>
          <w:spacing w:val="-2"/>
          <w:sz w:val="20"/>
          <w:szCs w:val="20"/>
        </w:rPr>
      </w:pPr>
      <w:r w:rsidRPr="00CD5947">
        <w:rPr>
          <w:rFonts w:ascii="Times New Roman" w:hAnsi="Times New Roman" w:cs="Times New Roman"/>
          <w:color w:val="000000" w:themeColor="text1"/>
          <w:sz w:val="20"/>
          <w:szCs w:val="20"/>
        </w:rPr>
        <w:t>The uniqueness of this study is its focus on how the ethical framework needed to solve various problems related to conversations with AI. The study also sheds light on what efforts can improve understanding of the moral, social, and legal components that govern AI interactions by emphasizing the ethical implications of AI-driven conversations. As well as the importance of establishing strong ethical guidelines and regulatory measures to encourage innovation and protect user data. This research contributes to opening discussions and providing new perspectives on things that were previously questioned (Michael, 2022)</w:t>
      </w:r>
    </w:p>
    <w:p w14:paraId="0456DEEF" w14:textId="77777777" w:rsidR="00640082" w:rsidRDefault="00640082" w:rsidP="00403F78">
      <w:pPr>
        <w:pStyle w:val="BodyText"/>
        <w:ind w:left="1440" w:right="334" w:firstLine="7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p>
    <w:p w14:paraId="13B32D26" w14:textId="6F05698C" w:rsidR="00640082" w:rsidRPr="00380B1B" w:rsidRDefault="00640082" w:rsidP="005565EB">
      <w:pPr>
        <w:pStyle w:val="BodyText"/>
        <w:numPr>
          <w:ilvl w:val="0"/>
          <w:numId w:val="25"/>
        </w:numPr>
        <w:spacing w:before="18"/>
        <w:ind w:left="1440"/>
        <w:jc w:val="both"/>
        <w:rPr>
          <w:rFonts w:ascii="Times New Roman" w:hAnsi="Times New Roman" w:cs="Times New Roman"/>
          <w:color w:val="000000" w:themeColor="text1"/>
        </w:rPr>
      </w:pPr>
      <w:r w:rsidRPr="00380B1B">
        <w:rPr>
          <w:rFonts w:ascii="Times New Roman" w:hAnsi="Times New Roman" w:cs="Times New Roman"/>
          <w:b/>
          <w:bCs/>
          <w:color w:val="000000" w:themeColor="text1"/>
        </w:rPr>
        <w:t>Method</w:t>
      </w:r>
    </w:p>
    <w:p w14:paraId="5BD7D8BB" w14:textId="37457ED4" w:rsidR="00640082"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This study uses the Systematic Literature Review (SLR) method to study in depth how AI technology affects personal communication, with a particular focus on its ethical impact. The SLR method was chosen because of its advantages in compiling data in a structured, complete, and easy-to-understand manner, so that it can provide a clear picture of the latest trends and research results. The research process follows the PRISMA (Preferred Reporting Items for Systematic Reviews and Meta-Analyses) guideline and begins by identifying the main problem, namely the influence of AI on personal communication, especially related to issues such as privacy, bias, trust, and changes in communication styles. Keywords such as "AI chatbot," "communication ethics," "privacy concerns," "bias in AI," and "trust in AI systems" are used to search for articles in trusted databases, such as Elsevier, Semantic Scholar, and Google Scholar. The selected articles are publications from the last 10 years (2013–2023) so that the results remain relevant to the latest developments.</w:t>
      </w:r>
    </w:p>
    <w:p w14:paraId="02A2542E" w14:textId="77777777" w:rsidR="00640082" w:rsidRPr="00CD5947" w:rsidRDefault="00640082" w:rsidP="00403F78">
      <w:pPr>
        <w:pStyle w:val="BodyText"/>
        <w:ind w:left="144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All articles found are selected based on certain criteria. Selected articles must be peer-reviewed, relevant to the topic of the impact of AI on personal communication, and address ethical aspects such as privacy, bias, or trust. Articles that are incomplete, of poor quality, or do not fit the topic are excluded from the analysis. The selection process is carried out in stages, starting with reading the title and abstract to filter out irrelevant articles, then continuing by reading the entire content of the articles that passed the initial stage. The quality of articles is assessed using tools such as the Critical Appraisal Skills </w:t>
      </w:r>
      <w:proofErr w:type="spellStart"/>
      <w:r w:rsidRPr="00CD5947">
        <w:rPr>
          <w:rFonts w:ascii="Times New Roman" w:hAnsi="Times New Roman" w:cs="Times New Roman"/>
          <w:color w:val="000000" w:themeColor="text1"/>
          <w:sz w:val="20"/>
          <w:szCs w:val="20"/>
        </w:rPr>
        <w:t>Programme</w:t>
      </w:r>
      <w:proofErr w:type="spellEnd"/>
      <w:r w:rsidRPr="00CD5947">
        <w:rPr>
          <w:rFonts w:ascii="Times New Roman" w:hAnsi="Times New Roman" w:cs="Times New Roman"/>
          <w:color w:val="000000" w:themeColor="text1"/>
          <w:sz w:val="20"/>
          <w:szCs w:val="20"/>
        </w:rPr>
        <w:t xml:space="preserve"> (CASP) to ensure that only valid and useful articles are used. Data from the articles, such as research objectives, methods, results, and conclusions, were collected and analyzed based on key themes, such as the impact of AI on communication styles, ethics in AI development, and privacy and bias issues. Researchers also compare results between articles to find patterns, differences, or shortcomings in previous studies. The entire process is meticulous and involves more than one researcher to ensure the results are accurate and reliable. With this method, the research is expected to provide a better understanding of the influence of AI in personal communication, as well as uncover the ethical challenges that arise from the influence of AI use.</w:t>
      </w:r>
    </w:p>
    <w:p w14:paraId="28841ED0" w14:textId="77777777" w:rsidR="00640082" w:rsidRPr="00CD5947" w:rsidRDefault="00640082" w:rsidP="00403F78">
      <w:pPr>
        <w:pStyle w:val="BodyText"/>
        <w:spacing w:before="18"/>
        <w:ind w:left="720"/>
        <w:jc w:val="both"/>
        <w:rPr>
          <w:rFonts w:ascii="Times New Roman" w:hAnsi="Times New Roman" w:cs="Times New Roman"/>
          <w:color w:val="000000" w:themeColor="text1"/>
          <w:sz w:val="20"/>
          <w:szCs w:val="20"/>
        </w:rPr>
      </w:pPr>
    </w:p>
    <w:p w14:paraId="6F9ECA95" w14:textId="77777777" w:rsidR="00640082" w:rsidRPr="00380B1B" w:rsidRDefault="00640082" w:rsidP="005565EB">
      <w:pPr>
        <w:pStyle w:val="BodyText"/>
        <w:numPr>
          <w:ilvl w:val="0"/>
          <w:numId w:val="25"/>
        </w:numPr>
        <w:spacing w:before="18"/>
        <w:ind w:left="1440"/>
        <w:jc w:val="both"/>
        <w:rPr>
          <w:rFonts w:ascii="Times New Roman" w:hAnsi="Times New Roman" w:cs="Times New Roman"/>
          <w:b/>
          <w:bCs/>
          <w:color w:val="000000" w:themeColor="text1"/>
        </w:rPr>
      </w:pPr>
      <w:r w:rsidRPr="00380B1B">
        <w:rPr>
          <w:rFonts w:ascii="Times New Roman" w:hAnsi="Times New Roman" w:cs="Times New Roman"/>
          <w:b/>
          <w:bCs/>
          <w:color w:val="000000" w:themeColor="text1"/>
        </w:rPr>
        <w:t>Results and Discussion</w:t>
      </w:r>
    </w:p>
    <w:p w14:paraId="39CEAFBD" w14:textId="77777777" w:rsidR="00640082" w:rsidRPr="00CD5947" w:rsidRDefault="00640082" w:rsidP="00403F78">
      <w:pPr>
        <w:pStyle w:val="BodyText"/>
        <w:spacing w:before="18"/>
        <w:ind w:left="1440"/>
        <w:jc w:val="both"/>
        <w:rPr>
          <w:rFonts w:ascii="Times New Roman" w:hAnsi="Times New Roman" w:cs="Times New Roman"/>
          <w:color w:val="000000" w:themeColor="text1"/>
          <w:sz w:val="20"/>
          <w:szCs w:val="20"/>
        </w:rPr>
      </w:pPr>
    </w:p>
    <w:p w14:paraId="4938B802" w14:textId="1297E304" w:rsidR="00640082" w:rsidRPr="00D304D3" w:rsidRDefault="00640082" w:rsidP="005565EB">
      <w:pPr>
        <w:pStyle w:val="ListParagraph"/>
        <w:numPr>
          <w:ilvl w:val="1"/>
          <w:numId w:val="6"/>
        </w:numPr>
        <w:ind w:left="1843"/>
        <w:rPr>
          <w:rFonts w:ascii="Times New Roman" w:hAnsi="Times New Roman" w:cs="Times New Roman"/>
          <w:b/>
          <w:bCs/>
          <w:i/>
          <w:sz w:val="20"/>
          <w:szCs w:val="20"/>
        </w:rPr>
      </w:pPr>
      <w:r w:rsidRPr="00D304D3">
        <w:rPr>
          <w:rFonts w:ascii="Times New Roman" w:hAnsi="Times New Roman" w:cs="Times New Roman"/>
          <w:b/>
          <w:bCs/>
          <w:sz w:val="20"/>
          <w:szCs w:val="20"/>
        </w:rPr>
        <w:t>Positive Impact on Communication Efficiency and Reach</w:t>
      </w:r>
    </w:p>
    <w:p w14:paraId="1FF7F01B" w14:textId="77777777" w:rsidR="00640082" w:rsidRPr="00CD5947" w:rsidRDefault="00640082" w:rsidP="00403F78">
      <w:pPr>
        <w:spacing w:before="60" w:line="240" w:lineRule="auto"/>
        <w:ind w:left="1800" w:firstLine="720"/>
        <w:rPr>
          <w:rFonts w:ascii="Times New Roman" w:hAnsi="Times New Roman" w:cs="Times New Roman"/>
          <w:color w:val="000000" w:themeColor="text1"/>
          <w:w w:val="105"/>
          <w:sz w:val="20"/>
          <w:szCs w:val="20"/>
        </w:rPr>
      </w:pPr>
      <w:r w:rsidRPr="00CD5947">
        <w:rPr>
          <w:rFonts w:ascii="Times New Roman" w:hAnsi="Times New Roman" w:cs="Times New Roman"/>
          <w:color w:val="000000" w:themeColor="text1"/>
          <w:w w:val="105"/>
          <w:sz w:val="20"/>
          <w:szCs w:val="20"/>
        </w:rPr>
        <w:t>Communication efficiency has been significantly improved by chatbots powered by artificial intelligence. These chatbots provide fast and reliable interactions, which in turn shortens response times and speeds up the distribution of information. Users have been able to get help and information with a level of speed and ease that has never been seen before because of this technology. According to (Endacott &amp; Leonardi, 2022), chatbots incorporated into customer service platforms show a high level of flexibility. These chatbots respond to user queries with information specifically tailored to their needs and encourage real-time problem-solving. According to (Kot &amp; Leszczyÿski, 2022), this technical capacity has significantly expanded the scope of communication, especially in areas where scalability and round-the-clock availability are critical, such as in the areas of healthcare consulting and educational assistance solutions.</w:t>
      </w:r>
    </w:p>
    <w:p w14:paraId="05C30B50" w14:textId="77777777" w:rsidR="00640082" w:rsidRPr="00CD5947" w:rsidRDefault="00640082" w:rsidP="00403F78">
      <w:pPr>
        <w:spacing w:before="60" w:line="240" w:lineRule="auto"/>
        <w:ind w:left="1800" w:firstLine="720"/>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Additionally, artificial intelligence chatbots empower interactions that are not limited by physical boundaries, so that geographically isolated or underserved users feel deeply cared for and understood. This in turn increases user satisfaction. Advanced algorithms make it possible to personalize the experience even further. According to research conducted by (Hohenstein &amp; Jung, 2018), such systems have the potential to encourage digital inclusion by overcoming communication barriers. These studies show that the development of AI-based technology has experienced good development and is in great demand by various circles. AI can even adopt human thoughts, experiences, actions, conversations so many consider that it is better to interact with AI because it tends to understand more and is always there because of its quick response.  </w:t>
      </w:r>
    </w:p>
    <w:p w14:paraId="2695A4D3" w14:textId="56ABBBAA" w:rsidR="00640082" w:rsidRPr="005565EB" w:rsidRDefault="00640082" w:rsidP="005565EB">
      <w:pPr>
        <w:pStyle w:val="ListParagraph"/>
        <w:numPr>
          <w:ilvl w:val="1"/>
          <w:numId w:val="6"/>
        </w:numPr>
        <w:ind w:left="1843"/>
        <w:rPr>
          <w:rFonts w:ascii="Times New Roman" w:hAnsi="Times New Roman" w:cs="Times New Roman"/>
          <w:b/>
          <w:bCs/>
          <w:sz w:val="20"/>
          <w:szCs w:val="20"/>
        </w:rPr>
      </w:pPr>
      <w:r w:rsidRPr="005565EB">
        <w:rPr>
          <w:rFonts w:ascii="Times New Roman" w:hAnsi="Times New Roman" w:cs="Times New Roman"/>
          <w:b/>
          <w:bCs/>
          <w:sz w:val="20"/>
          <w:szCs w:val="20"/>
        </w:rPr>
        <w:t>Negative Impacts: Authenticity, Privacy, and Security Challenges</w:t>
      </w:r>
    </w:p>
    <w:p w14:paraId="55E1054C" w14:textId="77777777" w:rsidR="00640082" w:rsidRPr="00CD5947" w:rsidRDefault="00640082" w:rsidP="00403F78">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pacing w:val="-2"/>
          <w:sz w:val="20"/>
          <w:szCs w:val="20"/>
        </w:rPr>
        <w:t xml:space="preserve">AI systems that work with a request and response framework make AI able to respond to requests, answer questions, provide suggestions, and even perform certain tasks according to user instructions even better than humans (Pramana et al, 2023). It's possible that AI-based conversations don't have the emotional depth that characterizes human communication, which would result in superficial interactions. Users who are used to interacting with artificial intelligence may have lower interpersonal and empathy skills. This phenomenon is related to a preference for having conversations mediated by technology rather than having conversations with humans. The persistent use of artificial intelligence has the potential to undermine the depth and sincerity of human interaction which suggests that this transition has an impact on social cohesiveness (Warwick &amp; Shah, 2015). This is also very vulnerable if not addressed wisely, especially for people who lack literacy and lack the support of those around them by turning it into an AI scam that occurs due to the inability to filter information. </w:t>
      </w:r>
    </w:p>
    <w:p w14:paraId="34951BDD" w14:textId="77777777" w:rsidR="00640082" w:rsidRDefault="00640082" w:rsidP="00403F78">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In addition, there are other negative impacts that are often questioned including the truth about significant privacy and security issues. Although in fact artificial intelligence offers a number of advantages. The data obtained by chatbots often includes sensitive information, which creates possible risks associated with data breaches and improper use of data. The results of a recent survey show that 85 percent of respondents have voiced concerns over the management of their personal data within artificial intelligence systems (Kuss &amp; </w:t>
      </w:r>
      <w:proofErr w:type="spellStart"/>
      <w:r w:rsidRPr="00CD5947">
        <w:rPr>
          <w:rFonts w:ascii="Times New Roman" w:hAnsi="Times New Roman" w:cs="Times New Roman"/>
          <w:color w:val="000000" w:themeColor="text1"/>
          <w:sz w:val="20"/>
          <w:szCs w:val="20"/>
        </w:rPr>
        <w:t>Leenes</w:t>
      </w:r>
      <w:proofErr w:type="spellEnd"/>
      <w:r w:rsidRPr="00CD5947">
        <w:rPr>
          <w:rFonts w:ascii="Times New Roman" w:hAnsi="Times New Roman" w:cs="Times New Roman"/>
          <w:color w:val="000000" w:themeColor="text1"/>
          <w:sz w:val="20"/>
          <w:szCs w:val="20"/>
        </w:rPr>
        <w:t>, 2020). AI has a large system commonly known as "big data" that is obtained through the Data Mining process and the machine learning process. The data obtained can be in the form of private data such as place and date of birth, name, address, gender, and many more. Then because of the massive amount of data that can be used and exchanged simultaneously by several companies that use different AIs (</w:t>
      </w:r>
      <w:r w:rsidRPr="00CD5947">
        <w:rPr>
          <w:rFonts w:ascii="Times New Roman" w:hAnsi="Times New Roman" w:cs="Times New Roman"/>
          <w:b/>
          <w:color w:val="000000" w:themeColor="text1"/>
          <w:sz w:val="20"/>
          <w:szCs w:val="20"/>
        </w:rPr>
        <w:t>Handayani et al, 2024).</w:t>
      </w:r>
      <w:r w:rsidRPr="00CD5947">
        <w:rPr>
          <w:rFonts w:ascii="Times New Roman" w:hAnsi="Times New Roman" w:cs="Times New Roman"/>
          <w:color w:val="000000" w:themeColor="text1"/>
          <w:sz w:val="20"/>
          <w:szCs w:val="20"/>
        </w:rPr>
        <w:t xml:space="preserve"> </w:t>
      </w:r>
    </w:p>
    <w:p w14:paraId="575AAC4C" w14:textId="77777777" w:rsidR="00640082" w:rsidRDefault="00640082" w:rsidP="00403F78">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This has made public trust damaged due to data breaches that have been in the public spotlight which has highlighted the urgent need for a comprehensive data protection mechanism (Rosenberg, 2023). There needs to be a room for monitoring, evaluation and supervision of data security as well as testing and periodic reports by independent parties on the security of data used by companies that adopt AI. </w:t>
      </w:r>
    </w:p>
    <w:p w14:paraId="4C90D698" w14:textId="77777777" w:rsidR="00640082" w:rsidRDefault="00640082" w:rsidP="00403F78">
      <w:pPr>
        <w:pStyle w:val="BodyText"/>
        <w:spacing w:before="2"/>
        <w:ind w:left="1800" w:firstLine="720"/>
        <w:jc w:val="both"/>
        <w:rPr>
          <w:rFonts w:ascii="Times New Roman" w:hAnsi="Times New Roman" w:cs="Times New Roman"/>
          <w:color w:val="000000" w:themeColor="text1"/>
          <w:sz w:val="20"/>
          <w:szCs w:val="20"/>
        </w:rPr>
      </w:pPr>
    </w:p>
    <w:p w14:paraId="792BF6A2" w14:textId="10EE9C9B" w:rsidR="00640082" w:rsidRPr="005565EB" w:rsidRDefault="00640082" w:rsidP="005565EB">
      <w:pPr>
        <w:pStyle w:val="ListParagraph"/>
        <w:numPr>
          <w:ilvl w:val="1"/>
          <w:numId w:val="6"/>
        </w:numPr>
        <w:ind w:left="1843"/>
        <w:rPr>
          <w:rFonts w:ascii="Times New Roman" w:hAnsi="Times New Roman" w:cs="Times New Roman"/>
          <w:b/>
          <w:bCs/>
          <w:sz w:val="20"/>
          <w:szCs w:val="20"/>
        </w:rPr>
      </w:pPr>
      <w:r w:rsidRPr="005565EB">
        <w:rPr>
          <w:rFonts w:ascii="Times New Roman" w:hAnsi="Times New Roman" w:cs="Times New Roman"/>
          <w:b/>
          <w:bCs/>
          <w:sz w:val="20"/>
          <w:szCs w:val="20"/>
        </w:rPr>
        <w:t>Ethical Concerns: Bias and Fairness in AI Communication</w:t>
      </w:r>
    </w:p>
    <w:p w14:paraId="26A191E0" w14:textId="77777777" w:rsidR="00640082" w:rsidRPr="00403F78"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403F78">
        <w:rPr>
          <w:rFonts w:ascii="Times New Roman" w:hAnsi="Times New Roman" w:cs="Times New Roman"/>
          <w:color w:val="000000" w:themeColor="text1"/>
          <w:sz w:val="20"/>
          <w:szCs w:val="20"/>
        </w:rPr>
        <w:t>Bias in artificial intelligence algorithms is a significant ethical issue that has the potential to reinforce existing imbalances and perpetuate stereotypes. The output of an artificial intelligence system may erroneously benefit some groups while marginalizing others. This is due to the fact that AI systems rely on training data that may reflect existing biases. This bias is often rooted in data that duplicates the differences that exist in the real world, resulting in uneven treatment shown during meetings. Examining the data collection process and ensuring that artificial intelligence systems are trained on varied and representative datasets are two of the steps taken to mitigate the impact of this bias (Wambsganss et al., 2021).</w:t>
      </w:r>
    </w:p>
    <w:p w14:paraId="302581D9" w14:textId="2CFA9F1B" w:rsidR="00BA3ACB" w:rsidRPr="00CD5947" w:rsidRDefault="00640082" w:rsidP="005565EB">
      <w:pPr>
        <w:pStyle w:val="BodyText"/>
        <w:ind w:left="1843"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Additionally, the influence of artificial intelligence-powered communication tools on fairness remains a controversial topic, with some users reporting that they have experienced discriminatory results. According to (Hauptmann et al., 2020), biased replies in customer service can sometimes alienate customers who come from certain demographic backgrounds. This can affect users' trust in the system as well as their desire to interact with it. In order for this technology to work in an inclusive and equitable manner, continuous efforts are needed to improve the fairness of artificial intelligence. In addition, cooperation is needed between various parties ranging from developers, regulators, and the public so that AI can be used fairly and neutrally against all parties.</w:t>
      </w:r>
    </w:p>
    <w:p w14:paraId="26A576BB" w14:textId="77777777" w:rsidR="00640082" w:rsidRPr="00CD5947" w:rsidRDefault="00640082" w:rsidP="00403F78">
      <w:pPr>
        <w:pStyle w:val="BodyText"/>
        <w:ind w:left="1080" w:firstLine="720"/>
        <w:jc w:val="both"/>
        <w:rPr>
          <w:rFonts w:ascii="Times New Roman" w:hAnsi="Times New Roman" w:cs="Times New Roman"/>
          <w:color w:val="000000" w:themeColor="text1"/>
          <w:sz w:val="20"/>
          <w:szCs w:val="20"/>
        </w:rPr>
      </w:pPr>
    </w:p>
    <w:p w14:paraId="34C89ADB" w14:textId="5E92ED72" w:rsidR="00640082" w:rsidRPr="005565EB" w:rsidRDefault="00640082" w:rsidP="005565EB">
      <w:pPr>
        <w:pStyle w:val="ListParagraph"/>
        <w:numPr>
          <w:ilvl w:val="1"/>
          <w:numId w:val="6"/>
        </w:numPr>
        <w:ind w:left="1843"/>
        <w:rPr>
          <w:rFonts w:ascii="Times New Roman" w:hAnsi="Times New Roman" w:cs="Times New Roman"/>
          <w:b/>
          <w:bCs/>
          <w:sz w:val="20"/>
          <w:szCs w:val="20"/>
        </w:rPr>
      </w:pPr>
      <w:r w:rsidRPr="00D304D3">
        <w:rPr>
          <w:rFonts w:ascii="Times New Roman" w:hAnsi="Times New Roman" w:cs="Times New Roman"/>
          <w:b/>
          <w:bCs/>
          <w:sz w:val="20"/>
          <w:szCs w:val="20"/>
        </w:rPr>
        <w:t>Implications for Human-Machine Interaction and Regulation</w:t>
      </w:r>
    </w:p>
    <w:p w14:paraId="0EE9A2DF" w14:textId="77777777" w:rsidR="00640082"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The ever-evolving role of artificial intelligence in interpersonal communication has sparked discussions about the long-term impact that technology will have on human relationships. Users may find that dealing with chatbots provides them with a sense of comfort and ease, which can result in a reduced urge to engage in human conversations. The reliance on artificial intelligence (AI) increases the likelihood of social isolation as it reduces the number of face-to-face contacts and community connections that occur. At the same time as artificial intelligence agents are progressively taking over the responsibilities traditionally carried by humans, concerns arise regarding the long-term viability of this dependence and its impact on human social skills (Michael, 2022).</w:t>
      </w:r>
    </w:p>
    <w:p w14:paraId="3419FA49" w14:textId="77777777" w:rsidR="00640082"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In addressing these ethical challenges, effective regulation and governance are indispensable (Kuss &amp; </w:t>
      </w:r>
      <w:proofErr w:type="spellStart"/>
      <w:r w:rsidRPr="00CD5947">
        <w:rPr>
          <w:rFonts w:ascii="Times New Roman" w:hAnsi="Times New Roman" w:cs="Times New Roman"/>
          <w:color w:val="000000" w:themeColor="text1"/>
          <w:sz w:val="20"/>
          <w:szCs w:val="20"/>
        </w:rPr>
        <w:t>Leenes</w:t>
      </w:r>
      <w:proofErr w:type="spellEnd"/>
      <w:r w:rsidRPr="00CD5947">
        <w:rPr>
          <w:rFonts w:ascii="Times New Roman" w:hAnsi="Times New Roman" w:cs="Times New Roman"/>
          <w:color w:val="000000" w:themeColor="text1"/>
          <w:sz w:val="20"/>
          <w:szCs w:val="20"/>
        </w:rPr>
        <w:t>, 2020). Current legislative frameworks often lag behind the pace of technological advancement, as a result, they do not adequately address complex issues such as data misuse, manipulation, and user autonomy. Therefore, it is crucial to implement a complete standard that includes user consent, accountability, and openness. Taking these steps will help strike a balance between innovation and ethical responsibility, as well as in building trust among users (Rosenberg, 2023).</w:t>
      </w:r>
    </w:p>
    <w:p w14:paraId="63A3A1FA" w14:textId="77777777" w:rsidR="00640082"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 xml:space="preserve">There are important ethical issues that go beyond the simple functions and user convenience gained by incorporating artificial intelligence into everyday communication, despite the fact that artificial intelligence offers practical advantages. The theory of utilitarianism, which emphasizes the actions that produce the greatest benefits for the greatest number of people, is one of the theoretical methods that can be used to understand this complication. This approach suggests that the development of communication efficiency and user experience should be weighed against possible social harms, such as a decrease in empathy and actual human contact. This is especially relevant to conversational artificial intelligence (AI) settings. There is a significant ethical puzzle revealed by the possibility that people may become overly reliant on artificial intelligence, which will result in reduced social skills and weaker interpersonal bonds. According to (Warwick &amp; Shah, 2015), despite the fact that this technology has the potential to help and enhance human talents, it should not be applied at the expense of basic human values and emotional intelligence. </w:t>
      </w:r>
    </w:p>
    <w:p w14:paraId="1789DD66" w14:textId="77777777" w:rsidR="00640082"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On the other hand, deontological ethics that are based on task-based moral principles, emphasizes the fact that an action must be intrinsically right or bad, regardless of the consequences it may entail. When viewed from this perspective, the design and implementation of artificial intelligence systems need to emphasize openness and honesty. This will guarantee that users are fully aware of the fact that they are interacting with artificial beings. Through the use of this principle, the concept of respecting user autonomy and combating dishonesty is strengthened. The ethical obligations of developers and organizations extend to the creation of systems that do not mislead users into thinking that they are communicating with other humans. This helps to ensure that the communication process is not interrupted in any way. Based on a study conducted by (Wambsganss et al., 2021), it has been shown that openness in artificial intelligence design is not only in line with ethical values but also drives higher trust and long-term acceptance among users.</w:t>
      </w:r>
    </w:p>
    <w:p w14:paraId="1EFF42E9" w14:textId="77777777" w:rsidR="00640082"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When considering the possible consequences and misuse of AI, questions arise such as, who is responsible for what AI does? Is it the developer, the manufacturer, the end user, the AI itself, or others? There is the potential to bridge the gap between technical growth and ethical responsibility through the application of value-sensitive design into artificial intelligence systems. In this method, human values are incorporated directly into the design process. This helps ensure that the system conforms to ethical standards and social norms that are often expected. The process of studying stakeholder demands and evaluating how technology interacts with social structures is a repetitive process necessary for value-sensitive design when applied. Developers can create artificial intelligence systems that respect user dignity, promote fairness, and limit the dangers associated with bias in AI output if they choose to include these factors. According to (Rosenberg, 2023), it is crucial to make a commitment to ethical AI design in order to minimize unforeseen consequences. One way for AI to work well is to implement a moral framework of distributed responsibility. That way all parties will be responsible for all the things done by AI.</w:t>
      </w:r>
    </w:p>
    <w:p w14:paraId="41B6A89B" w14:textId="77777777" w:rsidR="00640082" w:rsidRPr="00A22ECE" w:rsidRDefault="00640082" w:rsidP="00D304D3">
      <w:pPr>
        <w:pStyle w:val="BodyText"/>
        <w:spacing w:before="2"/>
        <w:ind w:left="1800" w:firstLine="720"/>
        <w:jc w:val="both"/>
        <w:rPr>
          <w:rFonts w:ascii="Times New Roman" w:hAnsi="Times New Roman" w:cs="Times New Roman"/>
          <w:color w:val="000000" w:themeColor="text1"/>
          <w:sz w:val="20"/>
          <w:szCs w:val="20"/>
        </w:rPr>
      </w:pPr>
      <w:r w:rsidRPr="00CD5947">
        <w:rPr>
          <w:rFonts w:ascii="Times New Roman" w:hAnsi="Times New Roman" w:cs="Times New Roman"/>
          <w:color w:val="000000" w:themeColor="text1"/>
          <w:sz w:val="20"/>
          <w:szCs w:val="20"/>
        </w:rPr>
        <w:t>The development of conversational artificial intelligence can be done responsibly by using a more comprehensive ethical framework that combines utilitarian and deontological perspectives, and that is supported by value-sensitive design concepts. Using this dual approach, the authors guarantee that the practical advantages of artificial intelligence, such as improved communication skills, are sought along with the implementation of strict ethical protections. If this is done, artificial intelligence systems have the potential to become more aligned with human-centered ideals, opening the door to interactions that are not only effective but also moral. The development of comprehensive regulations that address these ethical challenges and foster the continued integration of artificial intelligence in communication will require interdisciplinary collaboration between technologists, ethicists, and policymakers in the future (Hauptmann et al., 2020) (Warwick &amp; Shah, 2015). This collaboration is important to develop this regulation.</w:t>
      </w:r>
    </w:p>
    <w:p w14:paraId="176F127C" w14:textId="77777777" w:rsidR="00640082" w:rsidRDefault="00640082" w:rsidP="00403F78">
      <w:pPr>
        <w:pStyle w:val="BodyText"/>
        <w:ind w:left="1080" w:firstLine="720"/>
        <w:jc w:val="both"/>
        <w:rPr>
          <w:rFonts w:ascii="Times New Roman" w:hAnsi="Times New Roman" w:cs="Times New Roman"/>
          <w:color w:val="000000" w:themeColor="text1"/>
          <w:spacing w:val="-4"/>
          <w:sz w:val="20"/>
          <w:szCs w:val="20"/>
        </w:rPr>
      </w:pPr>
    </w:p>
    <w:p w14:paraId="1B24E02A" w14:textId="77777777" w:rsidR="00640082" w:rsidRPr="005565EB" w:rsidRDefault="00640082" w:rsidP="005565EB">
      <w:pPr>
        <w:pStyle w:val="BodyText"/>
        <w:spacing w:before="18"/>
        <w:ind w:left="1440"/>
        <w:jc w:val="both"/>
        <w:rPr>
          <w:rFonts w:ascii="Times New Roman" w:hAnsi="Times New Roman" w:cs="Times New Roman"/>
          <w:b/>
          <w:bCs/>
          <w:color w:val="000000" w:themeColor="text1"/>
          <w:sz w:val="20"/>
          <w:szCs w:val="20"/>
        </w:rPr>
      </w:pPr>
    </w:p>
    <w:p w14:paraId="70B858D0" w14:textId="77777777" w:rsidR="00640082" w:rsidRPr="00064125" w:rsidRDefault="00640082" w:rsidP="005565EB">
      <w:pPr>
        <w:pStyle w:val="BodyText"/>
        <w:numPr>
          <w:ilvl w:val="0"/>
          <w:numId w:val="25"/>
        </w:numPr>
        <w:spacing w:before="18"/>
        <w:ind w:left="1440"/>
        <w:jc w:val="both"/>
        <w:rPr>
          <w:rFonts w:ascii="Times New Roman" w:hAnsi="Times New Roman" w:cs="Times New Roman"/>
          <w:b/>
          <w:bCs/>
          <w:color w:val="000000" w:themeColor="text1"/>
          <w:spacing w:val="-4"/>
        </w:rPr>
      </w:pPr>
      <w:r w:rsidRPr="00064125">
        <w:rPr>
          <w:rFonts w:ascii="Times New Roman" w:hAnsi="Times New Roman" w:cs="Times New Roman"/>
          <w:b/>
          <w:bCs/>
          <w:color w:val="000000" w:themeColor="text1"/>
        </w:rPr>
        <w:t>Conclusion</w:t>
      </w:r>
    </w:p>
    <w:p w14:paraId="47110D32" w14:textId="7DB58A2B" w:rsidR="00640082" w:rsidRPr="007343C7" w:rsidRDefault="00640082" w:rsidP="005565EB">
      <w:pPr>
        <w:pStyle w:val="BodyText"/>
        <w:ind w:left="1440" w:firstLine="720"/>
        <w:jc w:val="both"/>
        <w:rPr>
          <w:rFonts w:ascii="Times New Roman" w:hAnsi="Times New Roman" w:cs="Times New Roman"/>
          <w:color w:val="000000" w:themeColor="text1"/>
          <w:sz w:val="20"/>
          <w:szCs w:val="20"/>
        </w:rPr>
      </w:pPr>
      <w:r w:rsidRPr="00D304D3">
        <w:rPr>
          <w:rFonts w:ascii="Times New Roman" w:hAnsi="Times New Roman" w:cs="Times New Roman"/>
          <w:color w:val="000000" w:themeColor="text1"/>
          <w:sz w:val="20"/>
          <w:szCs w:val="20"/>
        </w:rPr>
        <w:t xml:space="preserve"> </w:t>
      </w:r>
      <w:r w:rsidRPr="007343C7">
        <w:rPr>
          <w:rFonts w:ascii="Times New Roman" w:hAnsi="Times New Roman" w:cs="Times New Roman"/>
          <w:color w:val="000000" w:themeColor="text1"/>
          <w:sz w:val="20"/>
          <w:szCs w:val="20"/>
        </w:rPr>
        <w:t>Research on AI-supported conversations highlights significant impacts on interpersonal communication. On one hand, this technology can enhance communication effectiveness by providing quick and structured interactions. This opens up various possibilities, such as customer service and personal assistants, and can increase user engagement. Additionally, efficient interactions and rapid feedback can help individuals improve their communication skills.</w:t>
      </w:r>
    </w:p>
    <w:p w14:paraId="0D1E1DCC" w14:textId="22444264" w:rsidR="00640082" w:rsidRPr="007343C7" w:rsidRDefault="00640082" w:rsidP="005565EB">
      <w:pPr>
        <w:pStyle w:val="BodyText"/>
        <w:ind w:left="1440" w:firstLine="720"/>
        <w:jc w:val="both"/>
        <w:rPr>
          <w:rFonts w:ascii="Times New Roman" w:hAnsi="Times New Roman" w:cs="Times New Roman"/>
          <w:color w:val="000000" w:themeColor="text1"/>
          <w:sz w:val="20"/>
          <w:szCs w:val="20"/>
        </w:rPr>
      </w:pPr>
      <w:r w:rsidRPr="007343C7">
        <w:rPr>
          <w:rFonts w:ascii="Times New Roman" w:hAnsi="Times New Roman" w:cs="Times New Roman"/>
          <w:color w:val="000000" w:themeColor="text1"/>
          <w:sz w:val="20"/>
          <w:szCs w:val="20"/>
        </w:rPr>
        <w:t>However, excessive reliance on AI can diminish the quality of human relationships, such as reducing empathy and emotional intelligence, which are essential in interpersonal communication. Therefore, it is important to strike a balance between the use of AI and meaningful human interaction to ensure that interpersonal relationships remain deep and authentic.</w:t>
      </w:r>
    </w:p>
    <w:p w14:paraId="1104A3B8" w14:textId="2FB3C3CE" w:rsidR="00640082" w:rsidRPr="007343C7" w:rsidRDefault="00640082" w:rsidP="005565EB">
      <w:pPr>
        <w:pStyle w:val="BodyText"/>
        <w:ind w:left="1440" w:firstLine="720"/>
        <w:jc w:val="both"/>
        <w:rPr>
          <w:rFonts w:ascii="Times New Roman" w:hAnsi="Times New Roman" w:cs="Times New Roman"/>
          <w:color w:val="000000" w:themeColor="text1"/>
          <w:sz w:val="20"/>
          <w:szCs w:val="20"/>
        </w:rPr>
      </w:pPr>
      <w:r w:rsidRPr="007343C7">
        <w:rPr>
          <w:rFonts w:ascii="Times New Roman" w:hAnsi="Times New Roman" w:cs="Times New Roman"/>
          <w:color w:val="000000" w:themeColor="text1"/>
          <w:sz w:val="20"/>
          <w:szCs w:val="20"/>
        </w:rPr>
        <w:t>This study also highlights ethical challenges, such as privacy and data security issues, as well as the potential for AI to reinforce biases. These concerns are not only technical but also ethical, and they can affect user trust in digital communication. To address these, clear regulations and ethical design principles emphasizing transparency, fairness, and user consent are needed so that AI can be developed responsibly and inclusively.</w:t>
      </w:r>
    </w:p>
    <w:p w14:paraId="5AB1B218" w14:textId="67DCDFA6" w:rsidR="00640082" w:rsidRPr="007343C7" w:rsidRDefault="00640082" w:rsidP="005565EB">
      <w:pPr>
        <w:pStyle w:val="BodyText"/>
        <w:ind w:left="1440" w:firstLine="720"/>
        <w:jc w:val="both"/>
        <w:rPr>
          <w:rFonts w:ascii="Times New Roman" w:hAnsi="Times New Roman" w:cs="Times New Roman"/>
          <w:color w:val="000000" w:themeColor="text1"/>
          <w:sz w:val="20"/>
          <w:szCs w:val="20"/>
        </w:rPr>
      </w:pPr>
      <w:r w:rsidRPr="007343C7">
        <w:rPr>
          <w:rFonts w:ascii="Times New Roman" w:hAnsi="Times New Roman" w:cs="Times New Roman"/>
          <w:color w:val="000000" w:themeColor="text1"/>
          <w:sz w:val="20"/>
          <w:szCs w:val="20"/>
        </w:rPr>
        <w:t>Although this research provides a detailed analysis of ethical issues in the use of AI for communication, there are limitations as it is mostly theoretical. Therefore, further research is needed to explore how AI use impacts real-world communication experiences and long-term relationships. In-depth studies involving technologists, ethicists, and communication scholars could help find more comprehensive solutions and ensure that technological development respects human values while supporting ethical and user-centered communication.</w:t>
      </w:r>
    </w:p>
    <w:p w14:paraId="6E0A38BA" w14:textId="77777777" w:rsidR="00640082" w:rsidRPr="00CD5947" w:rsidRDefault="00640082" w:rsidP="00553E51">
      <w:pPr>
        <w:spacing w:before="8" w:line="319" w:lineRule="auto"/>
        <w:ind w:left="709" w:firstLine="720"/>
        <w:rPr>
          <w:rFonts w:ascii="Times New Roman" w:hAnsi="Times New Roman" w:cs="Times New Roman"/>
          <w:b/>
          <w:bCs/>
          <w:color w:val="000000" w:themeColor="text1"/>
          <w:sz w:val="20"/>
          <w:szCs w:val="20"/>
        </w:rPr>
      </w:pPr>
      <w:r w:rsidRPr="00CD5947">
        <w:rPr>
          <w:rFonts w:ascii="Times New Roman" w:hAnsi="Times New Roman" w:cs="Times New Roman"/>
          <w:b/>
          <w:bCs/>
          <w:color w:val="000000" w:themeColor="text1"/>
          <w:sz w:val="20"/>
          <w:szCs w:val="20"/>
        </w:rPr>
        <w:t xml:space="preserve">Reference </w:t>
      </w:r>
    </w:p>
    <w:p w14:paraId="192F3AFF" w14:textId="77777777" w:rsidR="00640082" w:rsidRPr="00CD5947" w:rsidRDefault="00640082" w:rsidP="00403F78">
      <w:pPr>
        <w:widowControl w:val="0"/>
        <w:autoSpaceDE w:val="0"/>
        <w:autoSpaceDN w:val="0"/>
        <w:spacing w:after="0" w:line="295" w:lineRule="auto"/>
        <w:ind w:left="2249" w:hanging="723"/>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Endacott, CG, &amp; Leonardi, PM (2022). Artificial intelligence and impression management: Consequences of autonomous conversational agents communicating on behalf of a person. </w:t>
      </w:r>
      <w:r w:rsidRPr="00CD5947">
        <w:rPr>
          <w:rFonts w:ascii="Times New Roman" w:eastAsia="Arial MT" w:hAnsi="Times New Roman" w:cs="Times New Roman"/>
          <w:i/>
          <w:sz w:val="20"/>
          <w:szCs w:val="20"/>
        </w:rPr>
        <w:t xml:space="preserve">Human Communication Research, </w:t>
      </w:r>
      <w:r w:rsidRPr="00CD5947">
        <w:rPr>
          <w:rFonts w:ascii="Times New Roman" w:eastAsia="Arial MT" w:hAnsi="Times New Roman" w:cs="Times New Roman"/>
          <w:sz w:val="20"/>
          <w:szCs w:val="20"/>
        </w:rPr>
        <w:t>48(3), 462–490. https:// doi.org/10.1093/hcr/hqac009</w:t>
      </w:r>
    </w:p>
    <w:p w14:paraId="43F71331" w14:textId="77777777" w:rsidR="00640082" w:rsidRPr="00CD5947" w:rsidRDefault="00640082" w:rsidP="00403F78">
      <w:pPr>
        <w:widowControl w:val="0"/>
        <w:autoSpaceDE w:val="0"/>
        <w:autoSpaceDN w:val="0"/>
        <w:spacing w:before="4" w:after="0" w:line="300" w:lineRule="auto"/>
        <w:ind w:left="2245" w:hanging="720"/>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Hauptmann, A., Magalhães, J., &amp; Costeira, J. (2020). MuCAI'20: 1st International Workshop on Multimodal Conversational AI. </w:t>
      </w:r>
      <w:r w:rsidRPr="00CD5947">
        <w:rPr>
          <w:rFonts w:ascii="Times New Roman" w:eastAsia="Arial MT" w:hAnsi="Times New Roman" w:cs="Times New Roman"/>
          <w:i/>
          <w:sz w:val="20"/>
          <w:szCs w:val="20"/>
        </w:rPr>
        <w:t xml:space="preserve">MM '20: Proceedings of the 28th ACM International Conference on Multimedia. </w:t>
      </w:r>
      <w:r w:rsidRPr="00CD5947">
        <w:rPr>
          <w:rFonts w:ascii="Times New Roman" w:eastAsia="Arial MT" w:hAnsi="Times New Roman" w:cs="Times New Roman"/>
          <w:sz w:val="20"/>
          <w:szCs w:val="20"/>
        </w:rPr>
        <w:t>https://dx.doi.org/ 10.1145/3394171.3421900</w:t>
      </w:r>
    </w:p>
    <w:p w14:paraId="78A80E5F" w14:textId="77777777" w:rsidR="00640082" w:rsidRPr="00CD5947" w:rsidRDefault="00640082" w:rsidP="00403F78">
      <w:pPr>
        <w:widowControl w:val="0"/>
        <w:autoSpaceDE w:val="0"/>
        <w:autoSpaceDN w:val="0"/>
        <w:spacing w:after="0" w:line="295" w:lineRule="auto"/>
        <w:ind w:left="2237" w:hanging="712"/>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Hohenstein, J., &amp; Jung, M. (2018). AI-powered messaging: Investigate AI-powered text conversations between humans. </w:t>
      </w:r>
      <w:r w:rsidRPr="00CD5947">
        <w:rPr>
          <w:rFonts w:ascii="Times New Roman" w:eastAsia="Arial MT" w:hAnsi="Times New Roman" w:cs="Times New Roman"/>
          <w:i/>
          <w:sz w:val="20"/>
          <w:szCs w:val="20"/>
        </w:rPr>
        <w:t xml:space="preserve">Full Abstract from the 2018 CHI Conference on Human Factors in Computing Systems, </w:t>
      </w:r>
      <w:r w:rsidRPr="00CD5947">
        <w:rPr>
          <w:rFonts w:ascii="Times New Roman" w:eastAsia="Arial MT" w:hAnsi="Times New Roman" w:cs="Times New Roman"/>
          <w:sz w:val="20"/>
          <w:szCs w:val="20"/>
        </w:rPr>
        <w:t>1–6. https://doi.org/10.1145/3170427.3188487</w:t>
      </w:r>
    </w:p>
    <w:p w14:paraId="623C4EF7" w14:textId="77777777" w:rsidR="00640082" w:rsidRPr="00CD5947" w:rsidRDefault="00640082" w:rsidP="00403F78">
      <w:pPr>
        <w:widowControl w:val="0"/>
        <w:autoSpaceDE w:val="0"/>
        <w:autoSpaceDN w:val="0"/>
        <w:spacing w:before="4"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Kot, M., &amp; Leszczyÿski, G. (2022). AI-Enabled Shared Value Creation. Conversational Agent Exploratory Study. </w:t>
      </w:r>
      <w:r w:rsidRPr="00CD5947">
        <w:rPr>
          <w:rFonts w:ascii="Times New Roman" w:eastAsia="Arial MT" w:hAnsi="Times New Roman" w:cs="Times New Roman"/>
          <w:i/>
          <w:sz w:val="20"/>
          <w:szCs w:val="20"/>
        </w:rPr>
        <w:t xml:space="preserve">Industrial Marketing Management, </w:t>
      </w:r>
      <w:r w:rsidRPr="00CD5947">
        <w:rPr>
          <w:rFonts w:ascii="Times New Roman" w:eastAsia="Arial MT" w:hAnsi="Times New Roman" w:cs="Times New Roman"/>
          <w:sz w:val="20"/>
          <w:szCs w:val="20"/>
        </w:rPr>
        <w:t>107 (November), 287–299. https://doi.org/10.1016/ j.indmarman.2022.10.013</w:t>
      </w:r>
    </w:p>
    <w:p w14:paraId="3EAE4EB2"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pacing w:val="-2"/>
          <w:sz w:val="20"/>
          <w:szCs w:val="20"/>
        </w:rPr>
      </w:pPr>
      <w:r w:rsidRPr="00CD5947">
        <w:rPr>
          <w:rFonts w:ascii="Times New Roman" w:eastAsia="Arial MT" w:hAnsi="Times New Roman" w:cs="Times New Roman"/>
          <w:sz w:val="20"/>
          <w:szCs w:val="20"/>
        </w:rPr>
        <w:t xml:space="preserve">Kuss, P., &amp; Leenes, R. (2020). Ghosts in Machines – Conversational Agents Emotional Intelligence and Failure Govern "Deception by Design." </w:t>
      </w:r>
      <w:r w:rsidRPr="00CD5947">
        <w:rPr>
          <w:rFonts w:ascii="Times New Roman" w:eastAsia="Arial MT" w:hAnsi="Times New Roman" w:cs="Times New Roman"/>
          <w:i/>
          <w:sz w:val="20"/>
          <w:szCs w:val="20"/>
        </w:rPr>
        <w:t xml:space="preserve">Manuscript: Journal of Law, Technology &amp; Society, </w:t>
      </w:r>
      <w:r w:rsidRPr="00CD5947">
        <w:rPr>
          <w:rFonts w:ascii="Times New Roman" w:eastAsia="Arial MT" w:hAnsi="Times New Roman" w:cs="Times New Roman"/>
          <w:sz w:val="20"/>
          <w:szCs w:val="20"/>
        </w:rPr>
        <w:t>17(2). https:// doi.org/10.2966/scrip.170220.320</w:t>
      </w:r>
    </w:p>
    <w:p w14:paraId="400DCAE5"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Michael, J. B. (2022). Understanding conversational artificial intelligence. Computer. 55(9), 115–119. https://dx.doi.org/10.1109/MC.2022.3187807</w:t>
      </w:r>
    </w:p>
    <w:p w14:paraId="6C2D90ED"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Rosenberg, L. (2023). The Manipulation Problem: Conversational AI as a Threat to Epistemic Agency. Human Computer Interaction. https://doi.org/10.48550/arXiv.2306.11748</w:t>
      </w:r>
    </w:p>
    <w:p w14:paraId="2B1DB6DB"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Wambsganss, T., Höch, A., Zierau, N., &amp; Söllner, M. (2021). Ethical Design of Conversational Agents: Towards Principles for a Value-Sensitive Design. In F. Ahlemann, R. Schütte, &amp; S. Stieglitz (eds.), Innovation Through Information Systems (Vol. 46). Springer. https://doi.org/10.1007/978-3-030-86790-4_37</w:t>
      </w:r>
    </w:p>
    <w:p w14:paraId="2DFCB29F"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Warwick, K., &amp; Shah, H. (2015). Intelligent Agents—Conversations from Human-agent Imitation Games. Proceedings of the International Conference on Agents and Artificial Intelligence, 2, 261–268. </w:t>
      </w:r>
      <w:r>
        <w:fldChar w:fldCharType="begin"/>
      </w:r>
      <w:r>
        <w:instrText>HYPERLINK "https://dx.doi.org/10.5220/0005176702610268"</w:instrText>
      </w:r>
      <w:r>
        <w:fldChar w:fldCharType="separate"/>
      </w:r>
      <w:r w:rsidRPr="00CD5947">
        <w:rPr>
          <w:rStyle w:val="Hyperlink"/>
          <w:rFonts w:eastAsia="Arial MT" w:cs="Times New Roman"/>
          <w:sz w:val="20"/>
          <w:szCs w:val="20"/>
        </w:rPr>
        <w:t>https://dx.doi.org/10.5220/0005176702610268</w:t>
      </w:r>
      <w:r>
        <w:fldChar w:fldCharType="end"/>
      </w:r>
      <w:r w:rsidRPr="00CD5947">
        <w:rPr>
          <w:rFonts w:ascii="Times New Roman" w:eastAsia="Arial MT" w:hAnsi="Times New Roman" w:cs="Times New Roman"/>
          <w:sz w:val="20"/>
          <w:szCs w:val="20"/>
        </w:rPr>
        <w:t>.</w:t>
      </w:r>
    </w:p>
    <w:p w14:paraId="525D470A"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Raharjo, Budi (2023) Ethical Theory in Artificial Intelligence (AI), Semarang, Agus Teknik Foundation</w:t>
      </w:r>
    </w:p>
    <w:p w14:paraId="5F7B3D32" w14:textId="77777777" w:rsidR="00640082" w:rsidRPr="00CD5947" w:rsidRDefault="00640082" w:rsidP="00403F78">
      <w:pPr>
        <w:widowControl w:val="0"/>
        <w:autoSpaceDE w:val="0"/>
        <w:autoSpaceDN w:val="0"/>
        <w:spacing w:before="1" w:after="0" w:line="300" w:lineRule="auto"/>
        <w:ind w:left="2243" w:hanging="718"/>
        <w:rPr>
          <w:rFonts w:ascii="Times New Roman" w:eastAsia="Arial MT" w:hAnsi="Times New Roman" w:cs="Times New Roman"/>
          <w:sz w:val="20"/>
          <w:szCs w:val="20"/>
        </w:rPr>
      </w:pPr>
      <w:r w:rsidRPr="00CD5947">
        <w:rPr>
          <w:rFonts w:ascii="Times New Roman" w:eastAsia="Arial MT" w:hAnsi="Times New Roman" w:cs="Times New Roman"/>
          <w:sz w:val="20"/>
          <w:szCs w:val="20"/>
        </w:rPr>
        <w:t xml:space="preserve">Sulistyawati, Difha, Rezha (2024) Benefits and Potential Problems of Using Artificial Intelligence (AI) in Public Communication, </w:t>
      </w:r>
    </w:p>
    <w:p w14:paraId="717D04CB" w14:textId="15DD1D04" w:rsidR="00640082" w:rsidRPr="00822617" w:rsidRDefault="00640082" w:rsidP="00822617">
      <w:pPr>
        <w:widowControl w:val="0"/>
        <w:autoSpaceDE w:val="0"/>
        <w:autoSpaceDN w:val="0"/>
        <w:spacing w:before="1" w:after="0" w:line="300" w:lineRule="auto"/>
        <w:ind w:left="2243" w:hanging="718"/>
        <w:rPr>
          <w:rFonts w:ascii="Times New Roman" w:eastAsia="Arial MT" w:hAnsi="Times New Roman" w:cs="Times New Roman"/>
          <w:sz w:val="20"/>
          <w:szCs w:val="20"/>
        </w:rPr>
        <w:sectPr w:rsidR="00640082" w:rsidRPr="00822617" w:rsidSect="001E5818">
          <w:pgSz w:w="11906" w:h="16838"/>
          <w:pgMar w:top="1440" w:right="1440" w:bottom="1440" w:left="1440" w:header="709" w:footer="709" w:gutter="0"/>
          <w:pgNumType w:start="51"/>
          <w:cols w:space="720"/>
        </w:sectPr>
      </w:pPr>
      <w:r w:rsidRPr="00CD5947">
        <w:rPr>
          <w:rFonts w:ascii="Times New Roman" w:eastAsia="Arial MT" w:hAnsi="Times New Roman" w:cs="Times New Roman"/>
          <w:sz w:val="20"/>
          <w:szCs w:val="20"/>
        </w:rPr>
        <w:t>Pramana, Chairunnisa, Prahastiwi (2023) Adapting to Technological Changes:: Artificial Intelligence and the Evolution of Interpersonal Communication</w:t>
      </w:r>
      <w:r w:rsidR="00822617">
        <w:rPr>
          <w:rFonts w:ascii="Times New Roman" w:eastAsia="Arial MT" w:hAnsi="Times New Roman" w:cs="Times New Roman"/>
          <w:sz w:val="20"/>
          <w:szCs w:val="20"/>
        </w:rPr>
        <w:t>.</w:t>
      </w:r>
    </w:p>
    <w:p w14:paraId="01C133B6" w14:textId="77777777" w:rsidR="00640082" w:rsidRDefault="00640082" w:rsidP="008E37C0">
      <w:pPr>
        <w:pStyle w:val="Heading1"/>
      </w:pPr>
      <w:bookmarkStart w:id="21" w:name="_Toc197537601"/>
      <w:r>
        <w:t>Media Portrayal of Teenagers and AI: A Quantitative Study on News Framing</w:t>
      </w:r>
      <w:bookmarkEnd w:id="21"/>
    </w:p>
    <w:p w14:paraId="6BE97E1E" w14:textId="77777777" w:rsidR="00640082" w:rsidRDefault="00640082">
      <w:pPr>
        <w:spacing w:line="240" w:lineRule="auto"/>
        <w:jc w:val="center"/>
        <w:rPr>
          <w:rFonts w:ascii="Times New Roman" w:eastAsia="Times New Roman" w:hAnsi="Times New Roman" w:cs="Times New Roman"/>
          <w:b/>
          <w:sz w:val="32"/>
          <w:szCs w:val="32"/>
        </w:rPr>
      </w:pPr>
    </w:p>
    <w:p w14:paraId="77983D28" w14:textId="77777777" w:rsidR="00640082" w:rsidRPr="006701AC" w:rsidRDefault="00640082" w:rsidP="008E37C0">
      <w:pPr>
        <w:pStyle w:val="Heading2"/>
        <w:rPr>
          <w:vertAlign w:val="superscript"/>
          <w:lang w:val="id-ID"/>
        </w:rPr>
      </w:pPr>
      <w:bookmarkStart w:id="22" w:name="_Toc197537602"/>
      <w:r w:rsidRPr="006701AC">
        <w:rPr>
          <w:lang w:val="id-ID"/>
        </w:rPr>
        <w:t>Sita Ayu Paramitha</w:t>
      </w:r>
      <w:r w:rsidRPr="006701AC">
        <w:rPr>
          <w:vertAlign w:val="superscript"/>
          <w:lang w:val="id-ID"/>
        </w:rPr>
        <w:t>1</w:t>
      </w:r>
      <w:r w:rsidRPr="006701AC">
        <w:rPr>
          <w:lang w:val="id-ID"/>
        </w:rPr>
        <w:t>, Muhammad Farid Adnan Hilmanur</w:t>
      </w:r>
      <w:r w:rsidRPr="006701AC">
        <w:rPr>
          <w:vertAlign w:val="superscript"/>
          <w:lang w:val="id-ID"/>
        </w:rPr>
        <w:t>2</w:t>
      </w:r>
      <w:r w:rsidRPr="006701AC">
        <w:rPr>
          <w:lang w:val="id-ID"/>
        </w:rPr>
        <w:t>, Nurazizah Rahman</w:t>
      </w:r>
      <w:r w:rsidRPr="006701AC">
        <w:rPr>
          <w:vertAlign w:val="superscript"/>
          <w:lang w:val="id-ID"/>
        </w:rPr>
        <w:t>3</w:t>
      </w:r>
      <w:r w:rsidRPr="006701AC">
        <w:rPr>
          <w:lang w:val="id-ID"/>
        </w:rPr>
        <w:t>, Inayah Azzahra Novareyna Safitri</w:t>
      </w:r>
      <w:r w:rsidRPr="006701AC">
        <w:rPr>
          <w:vertAlign w:val="superscript"/>
          <w:lang w:val="id-ID"/>
        </w:rPr>
        <w:t>4</w:t>
      </w:r>
      <w:r w:rsidRPr="006701AC">
        <w:rPr>
          <w:lang w:val="id-ID"/>
        </w:rPr>
        <w:t>, Rizky Natalia</w:t>
      </w:r>
      <w:r w:rsidRPr="006701AC">
        <w:rPr>
          <w:vertAlign w:val="superscript"/>
          <w:lang w:val="id-ID"/>
        </w:rPr>
        <w:t>5</w:t>
      </w:r>
      <w:bookmarkEnd w:id="22"/>
    </w:p>
    <w:p w14:paraId="266F2CD5" w14:textId="77777777" w:rsidR="00640082" w:rsidRPr="005565EB" w:rsidRDefault="00640082">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vertAlign w:val="superscript"/>
        </w:rPr>
        <w:t>1</w:t>
      </w:r>
      <w:r w:rsidRPr="005565EB">
        <w:rPr>
          <w:rFonts w:ascii="Times New Roman" w:eastAsia="Times New Roman" w:hAnsi="Times New Roman" w:cs="Times New Roman"/>
          <w:sz w:val="24"/>
          <w:szCs w:val="24"/>
        </w:rPr>
        <w:t>Communication Study, Faculty of Social and Political Sciences, Hasanuddin University, Makassar, Indonesia</w:t>
      </w:r>
    </w:p>
    <w:p w14:paraId="1217A041" w14:textId="77777777" w:rsidR="00640082" w:rsidRPr="005565EB" w:rsidRDefault="00640082">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Email: </w:t>
      </w:r>
      <w:hyperlink r:id="rId49" w:history="1">
        <w:r w:rsidRPr="005565EB">
          <w:rPr>
            <w:rStyle w:val="Hyperlink"/>
            <w:rFonts w:ascii="Times New Roman" w:eastAsia="Times New Roman" w:hAnsi="Times New Roman" w:cs="Times New Roman"/>
            <w:sz w:val="24"/>
            <w:szCs w:val="24"/>
          </w:rPr>
          <w:t>paramithasa23e@student.unhas.ac.id</w:t>
        </w:r>
      </w:hyperlink>
    </w:p>
    <w:p w14:paraId="2F6B8BEC" w14:textId="77777777" w:rsidR="00640082" w:rsidRPr="005565EB" w:rsidRDefault="00640082">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vertAlign w:val="superscript"/>
        </w:rPr>
        <w:t>2</w:t>
      </w:r>
      <w:r w:rsidRPr="005565EB">
        <w:rPr>
          <w:rFonts w:ascii="Times New Roman" w:eastAsia="Times New Roman" w:hAnsi="Times New Roman" w:cs="Times New Roman"/>
          <w:sz w:val="24"/>
          <w:szCs w:val="24"/>
        </w:rPr>
        <w:t>Communication Study, Faculty of Social and Political Sciences, Hasanuddin University, Makassar, Indonesia</w:t>
      </w:r>
    </w:p>
    <w:p w14:paraId="4BE399F3" w14:textId="77777777" w:rsidR="00640082" w:rsidRPr="005565EB" w:rsidRDefault="00640082">
      <w:pPr>
        <w:spacing w:line="240" w:lineRule="auto"/>
        <w:jc w:val="center"/>
        <w:rPr>
          <w:rFonts w:ascii="Times New Roman" w:eastAsia="Times New Roman" w:hAnsi="Times New Roman" w:cs="Times New Roman"/>
          <w:color w:val="1F1F1F"/>
          <w:sz w:val="24"/>
          <w:szCs w:val="24"/>
          <w:u w:val="single"/>
        </w:rPr>
      </w:pPr>
      <w:r w:rsidRPr="005565EB">
        <w:rPr>
          <w:rFonts w:ascii="Times New Roman" w:eastAsia="Times New Roman" w:hAnsi="Times New Roman" w:cs="Times New Roman"/>
          <w:sz w:val="24"/>
          <w:szCs w:val="24"/>
        </w:rPr>
        <w:t xml:space="preserve">Email: </w:t>
      </w:r>
      <w:hyperlink r:id="rId50">
        <w:r w:rsidRPr="005565EB">
          <w:rPr>
            <w:rFonts w:ascii="Times New Roman" w:eastAsia="Times New Roman" w:hAnsi="Times New Roman" w:cs="Times New Roman"/>
            <w:sz w:val="24"/>
            <w:szCs w:val="24"/>
          </w:rPr>
          <w:t>hilmanurmfa23e@student.unhas.ac.id</w:t>
        </w:r>
      </w:hyperlink>
    </w:p>
    <w:p w14:paraId="7595E879" w14:textId="77777777" w:rsidR="00640082" w:rsidRPr="005565EB" w:rsidRDefault="00640082" w:rsidP="00490030">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vertAlign w:val="superscript"/>
        </w:rPr>
        <w:t>3</w:t>
      </w:r>
      <w:r w:rsidRPr="005565EB">
        <w:rPr>
          <w:rFonts w:ascii="Times New Roman" w:eastAsia="Times New Roman" w:hAnsi="Times New Roman" w:cs="Times New Roman"/>
          <w:sz w:val="24"/>
          <w:szCs w:val="24"/>
        </w:rPr>
        <w:t>Communication Study, Faculty of Social and Political Sciences, Hasanuddin University, Makassar, Indonesia</w:t>
      </w:r>
    </w:p>
    <w:p w14:paraId="13046B10" w14:textId="77777777" w:rsidR="00640082" w:rsidRPr="005565EB" w:rsidRDefault="00640082" w:rsidP="00490030">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Email: </w:t>
      </w:r>
      <w:hyperlink r:id="rId51" w:history="1">
        <w:r w:rsidRPr="005565EB">
          <w:rPr>
            <w:rStyle w:val="Hyperlink"/>
            <w:rFonts w:ascii="Times New Roman" w:eastAsia="Times New Roman" w:hAnsi="Times New Roman" w:cs="Times New Roman"/>
            <w:sz w:val="24"/>
            <w:szCs w:val="24"/>
          </w:rPr>
          <w:t>rahmann23e@student.unhas.ac.id</w:t>
        </w:r>
      </w:hyperlink>
    </w:p>
    <w:p w14:paraId="2B8BF717" w14:textId="77777777" w:rsidR="00640082" w:rsidRPr="005565EB" w:rsidRDefault="00640082" w:rsidP="00490030">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vertAlign w:val="superscript"/>
        </w:rPr>
        <w:t>4</w:t>
      </w:r>
      <w:r w:rsidRPr="005565EB">
        <w:rPr>
          <w:rFonts w:ascii="Times New Roman" w:eastAsia="Times New Roman" w:hAnsi="Times New Roman" w:cs="Times New Roman"/>
          <w:sz w:val="24"/>
          <w:szCs w:val="24"/>
        </w:rPr>
        <w:t>Communication Study, Faculty of Social and Political Sciences, Hasanuddin University, Makassar, Indonesia</w:t>
      </w:r>
    </w:p>
    <w:p w14:paraId="339302A0" w14:textId="77777777" w:rsidR="00640082" w:rsidRPr="005565EB" w:rsidRDefault="00640082" w:rsidP="00490030">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Email: </w:t>
      </w:r>
      <w:hyperlink r:id="rId52" w:history="1">
        <w:r w:rsidRPr="005565EB">
          <w:rPr>
            <w:rStyle w:val="Hyperlink"/>
            <w:rFonts w:ascii="Times New Roman" w:eastAsia="Times New Roman" w:hAnsi="Times New Roman" w:cs="Times New Roman"/>
            <w:sz w:val="24"/>
            <w:szCs w:val="24"/>
          </w:rPr>
          <w:t>safitriian23e@student.unhas.ac.id</w:t>
        </w:r>
      </w:hyperlink>
    </w:p>
    <w:p w14:paraId="29D882BA" w14:textId="77777777" w:rsidR="00640082" w:rsidRPr="005565EB" w:rsidRDefault="00640082">
      <w:pPr>
        <w:spacing w:line="240" w:lineRule="auto"/>
        <w:jc w:val="center"/>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vertAlign w:val="superscript"/>
        </w:rPr>
        <w:t>5</w:t>
      </w:r>
      <w:r w:rsidRPr="005565EB">
        <w:rPr>
          <w:rFonts w:ascii="Times New Roman" w:eastAsia="Times New Roman" w:hAnsi="Times New Roman" w:cs="Times New Roman"/>
          <w:sz w:val="24"/>
          <w:szCs w:val="24"/>
        </w:rPr>
        <w:t>Communication Study, Faculty of Social and Political Sciences, Hasanuddin University, Makassar, Indonesia</w:t>
      </w:r>
    </w:p>
    <w:p w14:paraId="721BE1CC" w14:textId="77777777" w:rsidR="00640082" w:rsidRPr="00C260E6" w:rsidRDefault="00640082">
      <w:pPr>
        <w:spacing w:line="240" w:lineRule="auto"/>
        <w:jc w:val="center"/>
        <w:rPr>
          <w:rFonts w:ascii="Times New Roman" w:eastAsia="Times New Roman" w:hAnsi="Times New Roman" w:cs="Times New Roman"/>
          <w:color w:val="1155CC"/>
          <w:sz w:val="20"/>
          <w:szCs w:val="20"/>
        </w:rPr>
      </w:pPr>
      <w:r w:rsidRPr="005565EB">
        <w:rPr>
          <w:rFonts w:ascii="Times New Roman" w:eastAsia="Times New Roman" w:hAnsi="Times New Roman" w:cs="Times New Roman"/>
          <w:sz w:val="24"/>
          <w:szCs w:val="24"/>
        </w:rPr>
        <w:t xml:space="preserve">Email: </w:t>
      </w:r>
      <w:hyperlink r:id="rId53">
        <w:r w:rsidRPr="005565EB">
          <w:rPr>
            <w:rFonts w:ascii="Times New Roman" w:eastAsia="Times New Roman" w:hAnsi="Times New Roman" w:cs="Times New Roman"/>
            <w:sz w:val="24"/>
            <w:szCs w:val="24"/>
          </w:rPr>
          <w:t>nataliar23e@student.unhas.ac.id</w:t>
        </w:r>
      </w:hyperlink>
    </w:p>
    <w:p w14:paraId="32B25336" w14:textId="77777777" w:rsidR="00640082" w:rsidRDefault="00640082">
      <w:pPr>
        <w:spacing w:line="240" w:lineRule="auto"/>
        <w:rPr>
          <w:rFonts w:ascii="Times New Roman" w:eastAsia="Times New Roman" w:hAnsi="Times New Roman" w:cs="Times New Roman"/>
        </w:rPr>
      </w:pPr>
    </w:p>
    <w:p w14:paraId="7E2EFB15" w14:textId="77777777" w:rsidR="00640082" w:rsidRDefault="00640082">
      <w:pPr>
        <w:spacing w:line="240" w:lineRule="auto"/>
        <w:jc w:val="center"/>
        <w:rPr>
          <w:rFonts w:ascii="Times New Roman" w:eastAsia="Times New Roman" w:hAnsi="Times New Roman" w:cs="Times New Roman"/>
        </w:rPr>
      </w:pPr>
      <w:r>
        <w:rPr>
          <w:rFonts w:ascii="Times New Roman" w:eastAsia="Times New Roman" w:hAnsi="Times New Roman" w:cs="Times New Roman"/>
        </w:rPr>
        <w:t>*</w:t>
      </w:r>
      <w:r w:rsidRPr="00C947A5">
        <w:rPr>
          <w:rFonts w:ascii="Times New Roman" w:eastAsia="Times New Roman" w:hAnsi="Times New Roman" w:cs="Times New Roman"/>
          <w:sz w:val="24"/>
          <w:szCs w:val="24"/>
        </w:rPr>
        <w:t>Ainun Jariah Yusuf, S.Sos., M.A.</w:t>
      </w:r>
    </w:p>
    <w:p w14:paraId="6B6344DF" w14:textId="77777777" w:rsidR="00640082" w:rsidRDefault="00640082" w:rsidP="00726AE4"/>
    <w:p w14:paraId="5A55FCBF" w14:textId="77777777" w:rsidR="00640082" w:rsidRPr="008E37C0" w:rsidRDefault="00640082" w:rsidP="0055511B">
      <w:pPr>
        <w:spacing w:after="240" w:line="240" w:lineRule="auto"/>
        <w:jc w:val="center"/>
        <w:rPr>
          <w:rFonts w:ascii="Times New Roman" w:eastAsia="Times New Roman" w:hAnsi="Times New Roman" w:cs="Times New Roman"/>
          <w:b/>
        </w:rPr>
      </w:pPr>
      <w:r w:rsidRPr="008E37C0">
        <w:rPr>
          <w:rFonts w:ascii="Times New Roman" w:eastAsia="Times New Roman" w:hAnsi="Times New Roman" w:cs="Times New Roman"/>
          <w:b/>
        </w:rPr>
        <w:t>Abstract</w:t>
      </w:r>
    </w:p>
    <w:p w14:paraId="2FCE0E38" w14:textId="77777777" w:rsidR="00640082" w:rsidRDefault="00640082">
      <w:pPr>
        <w:spacing w:line="240" w:lineRule="auto"/>
        <w:rPr>
          <w:rFonts w:ascii="Times New Roman" w:eastAsia="Times New Roman" w:hAnsi="Times New Roman" w:cs="Times New Roman"/>
          <w:sz w:val="18"/>
          <w:szCs w:val="18"/>
        </w:rPr>
      </w:pPr>
      <w:r w:rsidRPr="007137AD">
        <w:rPr>
          <w:rFonts w:ascii="Times New Roman" w:eastAsia="Times New Roman" w:hAnsi="Times New Roman" w:cs="Times New Roman"/>
          <w:sz w:val="18"/>
          <w:szCs w:val="18"/>
        </w:rPr>
        <w:t xml:space="preserve">The use of </w:t>
      </w:r>
      <w:r w:rsidRPr="007137AD">
        <w:rPr>
          <w:rFonts w:ascii="Times New Roman" w:eastAsia="Times New Roman" w:hAnsi="Times New Roman" w:cs="Times New Roman"/>
          <w:i/>
          <w:iCs/>
          <w:sz w:val="18"/>
          <w:szCs w:val="18"/>
        </w:rPr>
        <w:t>Artificial Intelligence</w:t>
      </w:r>
      <w:r w:rsidRPr="007137AD">
        <w:rPr>
          <w:rFonts w:ascii="Times New Roman" w:eastAsia="Times New Roman" w:hAnsi="Times New Roman" w:cs="Times New Roman"/>
          <w:sz w:val="18"/>
          <w:szCs w:val="18"/>
        </w:rPr>
        <w:t xml:space="preserve"> (AI) among teenagers is increasing, significantly influencing their mindset and behavior. This study aims to analyze the representation of the relationship between AI and teenagers in media coverage through content analysis. Data was collected from 60 news articles obtained using the keywords "teenagers" and "AI" on Google News, focusing on narratives related to the impact of AI on teenagers. Four main categories were analyzed: AI as a threat to teenagers, AI exacerbating teenage behavior, the secretive use of AI by teenagers, and AI as a tool supporting positive spaces. This study contributes to understanding how media represents AI in the context of teenagers and provides new insights by highlighting the imbalance in media coverage, which tends to emphasize the risks of AI rather than its positive impacts. The findings reveal that most coverage emphasizes the negative impacts of AI on teenagers, such as addiction risks and behavioral changes that may lead to self-harm, compared to the less discussed positive aspects, such as educational benefits. The implications of these findings suggest the need for a more balanced and prudent approach in media coverage, allowing AI to be explored further as a beneficial tool for teenagers, while reducing the focus on threats and risks alone. This study also opens up opportunities for further research on how the media shapes public perception of modern technologies among the younger generation.</w:t>
      </w:r>
    </w:p>
    <w:p w14:paraId="0F04443A" w14:textId="77777777" w:rsidR="00640082" w:rsidRDefault="00640082">
      <w:pPr>
        <w:spacing w:line="240" w:lineRule="auto"/>
        <w:rPr>
          <w:rFonts w:ascii="Times New Roman" w:eastAsia="Times New Roman" w:hAnsi="Times New Roman" w:cs="Times New Roman"/>
          <w:i/>
          <w:sz w:val="18"/>
          <w:szCs w:val="18"/>
        </w:rPr>
      </w:pPr>
      <w:r>
        <w:rPr>
          <w:rFonts w:ascii="Times New Roman" w:eastAsia="Times New Roman" w:hAnsi="Times New Roman" w:cs="Times New Roman"/>
          <w:b/>
          <w:i/>
          <w:sz w:val="18"/>
          <w:szCs w:val="18"/>
        </w:rPr>
        <w:t xml:space="preserve">Keywords: </w:t>
      </w:r>
      <w:r>
        <w:rPr>
          <w:rFonts w:ascii="Times New Roman" w:eastAsia="Times New Roman" w:hAnsi="Times New Roman" w:cs="Times New Roman"/>
          <w:i/>
          <w:sz w:val="18"/>
          <w:szCs w:val="18"/>
        </w:rPr>
        <w:t>News; Artificial Intelligence; Teenagers; Technology; Media</w:t>
      </w:r>
    </w:p>
    <w:p w14:paraId="1EEC3F27" w14:textId="77777777" w:rsidR="00064125" w:rsidRDefault="00064125">
      <w:pPr>
        <w:spacing w:line="240" w:lineRule="auto"/>
        <w:rPr>
          <w:rFonts w:ascii="Times New Roman" w:eastAsia="Times New Roman" w:hAnsi="Times New Roman" w:cs="Times New Roman"/>
          <w:i/>
          <w:sz w:val="18"/>
          <w:szCs w:val="18"/>
        </w:rPr>
      </w:pPr>
    </w:p>
    <w:p w14:paraId="65FA30CD" w14:textId="77777777" w:rsidR="00064125" w:rsidRDefault="00064125">
      <w:pPr>
        <w:spacing w:line="240" w:lineRule="auto"/>
        <w:rPr>
          <w:rFonts w:ascii="Times New Roman" w:eastAsia="Times New Roman" w:hAnsi="Times New Roman" w:cs="Times New Roman"/>
          <w:i/>
          <w:sz w:val="18"/>
          <w:szCs w:val="18"/>
        </w:rPr>
      </w:pPr>
    </w:p>
    <w:p w14:paraId="31BA1C4B" w14:textId="77777777" w:rsidR="00640082" w:rsidRDefault="00640082" w:rsidP="00640082">
      <w:pPr>
        <w:numPr>
          <w:ilvl w:val="0"/>
          <w:numId w:val="10"/>
        </w:numPr>
        <w:spacing w:before="240" w:after="240" w:line="240" w:lineRule="auto"/>
        <w:ind w:left="283" w:hanging="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w:t>
      </w:r>
    </w:p>
    <w:p w14:paraId="4BDC3E11"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Technology has become the backbone in the modern era through various aspects of life, ranging from communication, education, to natural resource management. With the advancement of technology, various human activities can be carried out more easily and practically, reducing effort and increasing efficiency. Artificial intelligence (AI) represents a technological advancement significant enough to transform the way individuals interact with the world around them. AI technology encompasses capabilities such as learning, reasoning, problem-solving, and decision-making, which typically require human intelligence. By relying on big data and algorithms, AI plays a significant role in the technological revolution and drives innovation toward a more sustainable world.</w:t>
      </w:r>
    </w:p>
    <w:p w14:paraId="5B45DD54"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In recent years, AI has become one of the most discussed topics in the media, particularly in the field of technology (Kharis et al., 2023). The media often highlights the impact of AI on various aspects of life, both positive and negative. Increasingly sophisticated Deepfake technology, for example, challenges individuals' ability to distinguish between authentic content and digital manipulation. A study taught students to recognize Deepfake content through video-based learning, using pre-test and post-test results as indicators of learning effectiveness (Ali et al., 2021). In the field of health, AI shows great potential as an effective solution to support mental health efforts, serving as a tool to provide various information related to treatment. However, the development of this technology did not happen instantly. In its early days, AI was used as a tool for news writing where journalists wrote and inserted tags in phrases, headlines, or bullet points (</w:t>
      </w:r>
      <w:proofErr w:type="spellStart"/>
      <w:r w:rsidRPr="007137AD">
        <w:rPr>
          <w:rFonts w:ascii="Times New Roman" w:eastAsia="Times New Roman" w:hAnsi="Times New Roman" w:cs="Times New Roman"/>
          <w:sz w:val="20"/>
          <w:szCs w:val="20"/>
          <w:lang w:val="en-ID"/>
        </w:rPr>
        <w:t>Putranto</w:t>
      </w:r>
      <w:proofErr w:type="spellEnd"/>
      <w:r w:rsidRPr="007137AD">
        <w:rPr>
          <w:rFonts w:ascii="Times New Roman" w:eastAsia="Times New Roman" w:hAnsi="Times New Roman" w:cs="Times New Roman"/>
          <w:sz w:val="20"/>
          <w:szCs w:val="20"/>
          <w:lang w:val="en-ID"/>
        </w:rPr>
        <w:t xml:space="preserve"> and </w:t>
      </w:r>
      <w:proofErr w:type="spellStart"/>
      <w:r w:rsidRPr="007137AD">
        <w:rPr>
          <w:rFonts w:ascii="Times New Roman" w:eastAsia="Times New Roman" w:hAnsi="Times New Roman" w:cs="Times New Roman"/>
          <w:sz w:val="20"/>
          <w:szCs w:val="20"/>
          <w:lang w:val="en-ID"/>
        </w:rPr>
        <w:t>Utoyo</w:t>
      </w:r>
      <w:proofErr w:type="spellEnd"/>
      <w:r w:rsidRPr="007137AD">
        <w:rPr>
          <w:rFonts w:ascii="Times New Roman" w:eastAsia="Times New Roman" w:hAnsi="Times New Roman" w:cs="Times New Roman"/>
          <w:sz w:val="20"/>
          <w:szCs w:val="20"/>
          <w:lang w:val="en-ID"/>
        </w:rPr>
        <w:t>, 2022). This transformation of AI's role highlights its versatility across various sectors, standing as a testament to technological progress.</w:t>
      </w:r>
    </w:p>
    <w:p w14:paraId="2248C07A"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The presence of AI significantly contributes to understanding media communication, particularly in the context of teenagers aged 10-20, who are in a questioning phase. Teenagers are among the most exposed groups to AI-based technologies, such as social media, games, and digital learning tools (</w:t>
      </w:r>
      <w:proofErr w:type="spellStart"/>
      <w:r w:rsidRPr="007137AD">
        <w:rPr>
          <w:rFonts w:ascii="Times New Roman" w:eastAsia="Times New Roman" w:hAnsi="Times New Roman" w:cs="Times New Roman"/>
          <w:sz w:val="20"/>
          <w:szCs w:val="20"/>
          <w:lang w:val="en-ID"/>
        </w:rPr>
        <w:t>Muarifin</w:t>
      </w:r>
      <w:proofErr w:type="spellEnd"/>
      <w:r w:rsidRPr="007137AD">
        <w:rPr>
          <w:rFonts w:ascii="Times New Roman" w:eastAsia="Times New Roman" w:hAnsi="Times New Roman" w:cs="Times New Roman"/>
          <w:sz w:val="20"/>
          <w:szCs w:val="20"/>
          <w:lang w:val="en-ID"/>
        </w:rPr>
        <w:t>, 2023). With increased access to technology, AI not only simplifies activities but also influences how teenagers communicate, learn, and socialize. Media portrayals of AI have a significant impact on how teenagers perceive and use technology. The media tends to paint a polarized picture, presenting AI as a revolutionary technology or as a threat to privacy and employment. These narratives are crucial as they shape how individuals understand and accept AI in their daily lives, ultimately influencing their mindset. News often portrays AI as a technology that helps teenagers in their activities. Various dynamic patterns of AI representation in news related to teenagers, portray AI as a tool full of potential as well as challenges. The media provides a complex narrative, combining optimistic and critical viewpoints to reflect the multifaceted impact of AI on the younger generation.</w:t>
      </w:r>
    </w:p>
    <w:p w14:paraId="5C0CBD71"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 xml:space="preserve">Despite the benefits, AI technology presents some serious risks if misused. In positive reporting, AI is seen as an empowering tool but negative reporting often highlights the risks of addiction and the impact of the technology. The media uses various tones, framing, and narratives to discuss AI in various contexts. The use of optimistic or </w:t>
      </w:r>
      <w:proofErr w:type="spellStart"/>
      <w:r w:rsidRPr="007137AD">
        <w:rPr>
          <w:rFonts w:ascii="Times New Roman" w:eastAsia="Times New Roman" w:hAnsi="Times New Roman" w:cs="Times New Roman"/>
          <w:sz w:val="20"/>
          <w:szCs w:val="20"/>
          <w:lang w:val="en-ID"/>
        </w:rPr>
        <w:t>skeptical</w:t>
      </w:r>
      <w:proofErr w:type="spellEnd"/>
      <w:r w:rsidRPr="007137AD">
        <w:rPr>
          <w:rFonts w:ascii="Times New Roman" w:eastAsia="Times New Roman" w:hAnsi="Times New Roman" w:cs="Times New Roman"/>
          <w:sz w:val="20"/>
          <w:szCs w:val="20"/>
          <w:lang w:val="en-ID"/>
        </w:rPr>
        <w:t xml:space="preserve"> tone depends on the specific topic, while solution or threat framing creates a strong perception of the benefits or risks of AI. The dominant narratives of both potential and risk suggest that AI use is a complex phenomenon that requires deep understanding and a more serious approach.</w:t>
      </w:r>
    </w:p>
    <w:p w14:paraId="6FCC8FEF"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 xml:space="preserve">One of the challenges is the ability of AI to manipulate content. AI facilitates the manipulation of pornographic content, thereby increasing the risk of abuse (Harun and </w:t>
      </w:r>
      <w:proofErr w:type="spellStart"/>
      <w:r w:rsidRPr="007137AD">
        <w:rPr>
          <w:rFonts w:ascii="Times New Roman" w:eastAsia="Times New Roman" w:hAnsi="Times New Roman" w:cs="Times New Roman"/>
          <w:sz w:val="20"/>
          <w:szCs w:val="20"/>
          <w:lang w:val="en-ID"/>
        </w:rPr>
        <w:t>Nurhadiyanto</w:t>
      </w:r>
      <w:proofErr w:type="spellEnd"/>
      <w:r w:rsidRPr="007137AD">
        <w:rPr>
          <w:rFonts w:ascii="Times New Roman" w:eastAsia="Times New Roman" w:hAnsi="Times New Roman" w:cs="Times New Roman"/>
          <w:sz w:val="20"/>
          <w:szCs w:val="20"/>
          <w:lang w:val="en-ID"/>
        </w:rPr>
        <w:t>, 2024). However, the challenges do not stop there. The risk of misuse can extend to actions that violate social norms and ethics, such as the creation of Deepfake porn content that violates decency (Putra and Multazam, 2024). Deepfake porn represents a serious threat, often used to create prohibited content and violate the ethics and rights of victims. As for other cases, the use of AI can cause excessive dependence. AI is often utilized to complete academic tasks, leading to decreased teenage motivation to work hard, think critically, and make independent decisions when facing academic challenges (</w:t>
      </w:r>
      <w:proofErr w:type="spellStart"/>
      <w:r w:rsidRPr="007137AD">
        <w:rPr>
          <w:rFonts w:ascii="Times New Roman" w:eastAsia="Times New Roman" w:hAnsi="Times New Roman" w:cs="Times New Roman"/>
          <w:sz w:val="20"/>
          <w:szCs w:val="20"/>
          <w:lang w:val="en-ID"/>
        </w:rPr>
        <w:t>Muarifin</w:t>
      </w:r>
      <w:proofErr w:type="spellEnd"/>
      <w:r w:rsidRPr="007137AD">
        <w:rPr>
          <w:rFonts w:ascii="Times New Roman" w:eastAsia="Times New Roman" w:hAnsi="Times New Roman" w:cs="Times New Roman"/>
          <w:sz w:val="20"/>
          <w:szCs w:val="20"/>
          <w:lang w:val="en-ID"/>
        </w:rPr>
        <w:t>, 2023). This can also reduce teenagers’ confidence in their own individual abilities, which in turn creates psychological pressure, such as anxiety about not being able to compete without AI assistance.</w:t>
      </w:r>
    </w:p>
    <w:p w14:paraId="15BAB5A5" w14:textId="77777777" w:rsidR="00640082" w:rsidRDefault="00640082" w:rsidP="00605F5A">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Communication technology, particularly mass media, plays an important role in shaping moral principles in society. The media are not only a means of information but also an agent of social change (</w:t>
      </w:r>
      <w:proofErr w:type="spellStart"/>
      <w:r w:rsidRPr="007137AD">
        <w:rPr>
          <w:rFonts w:ascii="Times New Roman" w:eastAsia="Times New Roman" w:hAnsi="Times New Roman" w:cs="Times New Roman"/>
          <w:sz w:val="20"/>
          <w:szCs w:val="20"/>
          <w:lang w:val="en-ID"/>
        </w:rPr>
        <w:t>Asnidar</w:t>
      </w:r>
      <w:proofErr w:type="spellEnd"/>
      <w:r w:rsidRPr="007137AD">
        <w:rPr>
          <w:rFonts w:ascii="Times New Roman" w:eastAsia="Times New Roman" w:hAnsi="Times New Roman" w:cs="Times New Roman"/>
          <w:sz w:val="20"/>
          <w:szCs w:val="20"/>
          <w:lang w:val="en-ID"/>
        </w:rPr>
        <w:t xml:space="preserve"> et al., 2022). Most existing research focuses on the media's portrayal of AI technology in general and its impact on socio-economic factors. Examples include research on the utilization of AR (Augmented Reality) technology in science learning (Juwita et al., 2021) and the impact of AI on the economy (Rachmadana et al., 2022). However, there is minimal research that specifically </w:t>
      </w:r>
      <w:r>
        <w:rPr>
          <w:rFonts w:ascii="Times New Roman" w:eastAsia="Times New Roman" w:hAnsi="Times New Roman" w:cs="Times New Roman"/>
          <w:sz w:val="20"/>
          <w:szCs w:val="20"/>
          <w:lang w:val="en-ID"/>
        </w:rPr>
        <w:t>addresses</w:t>
      </w:r>
      <w:r w:rsidRPr="007137AD">
        <w:rPr>
          <w:rFonts w:ascii="Times New Roman" w:eastAsia="Times New Roman" w:hAnsi="Times New Roman" w:cs="Times New Roman"/>
          <w:sz w:val="20"/>
          <w:szCs w:val="20"/>
          <w:lang w:val="en-ID"/>
        </w:rPr>
        <w:t xml:space="preserve"> the relationship between AI and teenagers in media portrayals, such as </w:t>
      </w:r>
      <w:r>
        <w:rPr>
          <w:rFonts w:ascii="Times New Roman" w:eastAsia="Times New Roman" w:hAnsi="Times New Roman" w:cs="Times New Roman"/>
          <w:sz w:val="20"/>
          <w:szCs w:val="20"/>
          <w:lang w:val="en-ID"/>
        </w:rPr>
        <w:t xml:space="preserve">in the </w:t>
      </w:r>
      <w:r w:rsidRPr="007137AD">
        <w:rPr>
          <w:rFonts w:ascii="Times New Roman" w:eastAsia="Times New Roman" w:hAnsi="Times New Roman" w:cs="Times New Roman"/>
          <w:sz w:val="20"/>
          <w:szCs w:val="20"/>
          <w:lang w:val="en-ID"/>
        </w:rPr>
        <w:t>news.</w:t>
      </w:r>
      <w:r>
        <w:rPr>
          <w:rFonts w:ascii="Times New Roman" w:eastAsia="Times New Roman" w:hAnsi="Times New Roman" w:cs="Times New Roman"/>
          <w:sz w:val="20"/>
          <w:szCs w:val="20"/>
          <w:lang w:val="en-ID"/>
        </w:rPr>
        <w:t xml:space="preserve"> </w:t>
      </w:r>
      <w:r w:rsidRPr="005867B3">
        <w:rPr>
          <w:rFonts w:ascii="Times New Roman" w:eastAsia="Times New Roman" w:hAnsi="Times New Roman" w:cs="Times New Roman"/>
          <w:sz w:val="20"/>
          <w:szCs w:val="20"/>
        </w:rPr>
        <w:t>UNESCO (2021) acknowledges that AI technologies offer significant opportunities to advance scientific knowledge.</w:t>
      </w:r>
      <w:r>
        <w:rPr>
          <w:rFonts w:ascii="Times New Roman" w:eastAsia="Times New Roman" w:hAnsi="Times New Roman" w:cs="Times New Roman"/>
          <w:sz w:val="20"/>
          <w:szCs w:val="20"/>
          <w:lang w:val="en-ID"/>
        </w:rPr>
        <w:t xml:space="preserve"> </w:t>
      </w:r>
      <w:r w:rsidRPr="00605F5A">
        <w:rPr>
          <w:rFonts w:ascii="Times New Roman" w:eastAsia="Times New Roman" w:hAnsi="Times New Roman" w:cs="Times New Roman"/>
          <w:sz w:val="20"/>
          <w:szCs w:val="20"/>
        </w:rPr>
        <w:t>In light of this, understanding how AI is portrayed in the media becomes crucial, especially considering its potential impact on younger audiences.</w:t>
      </w:r>
      <w:r>
        <w:rPr>
          <w:rFonts w:ascii="Times New Roman" w:eastAsia="Times New Roman" w:hAnsi="Times New Roman" w:cs="Times New Roman"/>
          <w:sz w:val="20"/>
          <w:szCs w:val="20"/>
          <w:lang w:val="en-ID"/>
        </w:rPr>
        <w:t xml:space="preserve"> </w:t>
      </w:r>
      <w:r w:rsidRPr="005867B3">
        <w:rPr>
          <w:rFonts w:ascii="Times New Roman" w:eastAsia="Times New Roman" w:hAnsi="Times New Roman" w:cs="Times New Roman"/>
          <w:sz w:val="20"/>
          <w:szCs w:val="20"/>
        </w:rPr>
        <w:t xml:space="preserve">The lack of research on </w:t>
      </w:r>
      <w:r>
        <w:rPr>
          <w:rFonts w:ascii="Times New Roman" w:eastAsia="Times New Roman" w:hAnsi="Times New Roman" w:cs="Times New Roman"/>
          <w:sz w:val="20"/>
          <w:szCs w:val="20"/>
        </w:rPr>
        <w:t xml:space="preserve">this relationship presents an opportunity to emphasize the importance of exploring how AI is represented </w:t>
      </w:r>
      <w:r w:rsidRPr="00605F5A">
        <w:rPr>
          <w:rFonts w:ascii="Times New Roman" w:eastAsia="Times New Roman" w:hAnsi="Times New Roman" w:cs="Times New Roman"/>
          <w:sz w:val="20"/>
          <w:szCs w:val="20"/>
        </w:rPr>
        <w:t>in the media and how these portrayals influence teenagers' perceptions and interactions with technology</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en-ID"/>
        </w:rPr>
        <w:t xml:space="preserve"> </w:t>
      </w:r>
      <w:r w:rsidRPr="007137AD">
        <w:rPr>
          <w:rFonts w:ascii="Times New Roman" w:eastAsia="Times New Roman" w:hAnsi="Times New Roman" w:cs="Times New Roman"/>
          <w:sz w:val="20"/>
          <w:szCs w:val="20"/>
          <w:lang w:val="en-ID"/>
        </w:rPr>
        <w:t>In the context of social media or the internet, the majority of technology users are teenagers (</w:t>
      </w:r>
      <w:proofErr w:type="spellStart"/>
      <w:r w:rsidRPr="007137AD">
        <w:rPr>
          <w:rFonts w:ascii="Times New Roman" w:eastAsia="Times New Roman" w:hAnsi="Times New Roman" w:cs="Times New Roman"/>
          <w:sz w:val="20"/>
          <w:szCs w:val="20"/>
          <w:lang w:val="en-ID"/>
        </w:rPr>
        <w:t>Komariah</w:t>
      </w:r>
      <w:proofErr w:type="spellEnd"/>
      <w:r w:rsidRPr="007137AD">
        <w:rPr>
          <w:rFonts w:ascii="Times New Roman" w:eastAsia="Times New Roman" w:hAnsi="Times New Roman" w:cs="Times New Roman"/>
          <w:sz w:val="20"/>
          <w:szCs w:val="20"/>
          <w:lang w:val="en-ID"/>
        </w:rPr>
        <w:t xml:space="preserve"> et al., 2020). </w:t>
      </w:r>
    </w:p>
    <w:p w14:paraId="36D72B1F" w14:textId="77777777" w:rsidR="00640082" w:rsidRPr="007137AD" w:rsidRDefault="00640082" w:rsidP="00605F5A">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Therefore, an in-depth understanding of how the media represents AI and teenagers is needed in order to identify the narratives presented in the news. With the increasingly important role of the media in shaping opinions among the younger generation, a more responsible approach is required to present AI technology objectively and constructively. This highlights a research gap that needs to be addressed. This study offers an analysis of the patterns of media coverage regarding the relationship between AI and teenagers. We conducted the analysis using quantitative methods and examined 60 news stories that reported on cases involving AI and teenagers. Consequently, we focused on how the news portrayed the relationship between these two entities.</w:t>
      </w:r>
    </w:p>
    <w:p w14:paraId="779E163B"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 xml:space="preserve">Based on this background, this study focuses on </w:t>
      </w:r>
      <w:proofErr w:type="spellStart"/>
      <w:r w:rsidRPr="007137AD">
        <w:rPr>
          <w:rFonts w:ascii="Times New Roman" w:eastAsia="Times New Roman" w:hAnsi="Times New Roman" w:cs="Times New Roman"/>
          <w:sz w:val="20"/>
          <w:szCs w:val="20"/>
          <w:lang w:val="en-ID"/>
        </w:rPr>
        <w:t>analyzing</w:t>
      </w:r>
      <w:proofErr w:type="spellEnd"/>
      <w:r w:rsidRPr="007137AD">
        <w:rPr>
          <w:rFonts w:ascii="Times New Roman" w:eastAsia="Times New Roman" w:hAnsi="Times New Roman" w:cs="Times New Roman"/>
          <w:sz w:val="20"/>
          <w:szCs w:val="20"/>
          <w:lang w:val="en-ID"/>
        </w:rPr>
        <w:t xml:space="preserve"> the relationship between representations of artificial intelligence (AI) in the media and youth groups. As such, this study aims to answer several key questions: How does the media portray the relationship between AI and teenagers? </w:t>
      </w:r>
      <w:r>
        <w:rPr>
          <w:rFonts w:ascii="Times New Roman" w:eastAsia="Times New Roman" w:hAnsi="Times New Roman" w:cs="Times New Roman"/>
          <w:sz w:val="20"/>
          <w:szCs w:val="20"/>
          <w:lang w:val="en-ID"/>
        </w:rPr>
        <w:t>h</w:t>
      </w:r>
      <w:r w:rsidRPr="007137AD">
        <w:rPr>
          <w:rFonts w:ascii="Times New Roman" w:eastAsia="Times New Roman" w:hAnsi="Times New Roman" w:cs="Times New Roman"/>
          <w:sz w:val="20"/>
          <w:szCs w:val="20"/>
          <w:lang w:val="en-ID"/>
        </w:rPr>
        <w:t xml:space="preserve">ow do media narratives influence teenagers' perceptions of AI? </w:t>
      </w:r>
      <w:r>
        <w:rPr>
          <w:rFonts w:ascii="Times New Roman" w:eastAsia="Times New Roman" w:hAnsi="Times New Roman" w:cs="Times New Roman"/>
          <w:sz w:val="20"/>
          <w:szCs w:val="20"/>
          <w:lang w:val="en-ID"/>
        </w:rPr>
        <w:t>a</w:t>
      </w:r>
      <w:r w:rsidRPr="007137AD">
        <w:rPr>
          <w:rFonts w:ascii="Times New Roman" w:eastAsia="Times New Roman" w:hAnsi="Times New Roman" w:cs="Times New Roman"/>
          <w:sz w:val="20"/>
          <w:szCs w:val="20"/>
          <w:lang w:val="en-ID"/>
        </w:rPr>
        <w:t>nd what are the dominant patterns of media coverage regarding the positive and negative impacts of AI on teenagers.</w:t>
      </w:r>
    </w:p>
    <w:p w14:paraId="06C7CAB3" w14:textId="77777777" w:rsidR="00640082" w:rsidRDefault="00640082" w:rsidP="00640082">
      <w:pPr>
        <w:numPr>
          <w:ilvl w:val="0"/>
          <w:numId w:val="10"/>
        </w:numPr>
        <w:spacing w:before="240" w:after="240" w:line="240" w:lineRule="auto"/>
        <w:ind w:left="283" w:hanging="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39B7F2D8"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This research uses a quantitative approach with content analysis techniques to identify patterns of portrayal of teenagers and AI in media coverage. Data was obtained through a news search on Google News conducted on November 26, 2024, at 9:40 WITA. The keywords "Teenagers/Teen" and "AI" were used in the search. The term "Teenagers" is assumed to refer to individuals aged between 10 and 20 years according to the WHO definition. Data collected were from the first 10 pages of Google News search results. Google News was chosen as the data source based on its popularity as a news aggregator commonly used to find up-to-date information. However, potential biases in the search algorithm and data representation are acknowledged as limitations of this study. </w:t>
      </w:r>
    </w:p>
    <w:p w14:paraId="60EC1CB0"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 xml:space="preserve">Therefore, the collected data were further filtered to ensure quality and relevance. Out of a total of 69 news articles found, only 60 messages were retained for further analysis after the curation process. None of the news articles were excluded from the study due to a lack of clear or reliable media identity. The curation process was based on specific criteria to determine the authenticity of the media, including media reputation, source transparency, and reporting consistency. To ensure transparency in the selection process, we documented the reasons for curating each news article. Only news from trustworthy and relevant media in the portrayal of teenagers and AI will be </w:t>
      </w:r>
      <w:proofErr w:type="spellStart"/>
      <w:r w:rsidRPr="007137AD">
        <w:rPr>
          <w:rFonts w:ascii="Times New Roman" w:eastAsia="Times New Roman" w:hAnsi="Times New Roman" w:cs="Times New Roman"/>
          <w:sz w:val="20"/>
          <w:szCs w:val="20"/>
          <w:lang w:val="en-ID"/>
        </w:rPr>
        <w:t>analyzed</w:t>
      </w:r>
      <w:proofErr w:type="spellEnd"/>
      <w:r w:rsidRPr="007137AD">
        <w:rPr>
          <w:rFonts w:ascii="Times New Roman" w:eastAsia="Times New Roman" w:hAnsi="Times New Roman" w:cs="Times New Roman"/>
          <w:sz w:val="20"/>
          <w:szCs w:val="20"/>
          <w:lang w:val="en-ID"/>
        </w:rPr>
        <w:t>. Media considered trustworthy were selected based on clear criteria, including journalistic track record, source verification, and media ownership clarity. </w:t>
      </w:r>
    </w:p>
    <w:p w14:paraId="5D156C12" w14:textId="77777777" w:rsidR="00640082" w:rsidRPr="007137AD" w:rsidRDefault="00640082" w:rsidP="007137AD">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The analysis was conducted by evaluating messages based on four main categories: "Whether AI is perceived as a threat to teenagers", "</w:t>
      </w:r>
      <w:r>
        <w:rPr>
          <w:rFonts w:ascii="Times New Roman" w:eastAsia="Times New Roman" w:hAnsi="Times New Roman" w:cs="Times New Roman"/>
          <w:sz w:val="20"/>
          <w:szCs w:val="20"/>
          <w:lang w:val="en-ID"/>
        </w:rPr>
        <w:t>w</w:t>
      </w:r>
      <w:r w:rsidRPr="007137AD">
        <w:rPr>
          <w:rFonts w:ascii="Times New Roman" w:eastAsia="Times New Roman" w:hAnsi="Times New Roman" w:cs="Times New Roman"/>
          <w:sz w:val="20"/>
          <w:szCs w:val="20"/>
          <w:lang w:val="en-ID"/>
        </w:rPr>
        <w:t xml:space="preserve">hether the news indicates that AI causes, exacerbates, or encourages problematic </w:t>
      </w:r>
      <w:proofErr w:type="spellStart"/>
      <w:r w:rsidRPr="007137AD">
        <w:rPr>
          <w:rFonts w:ascii="Times New Roman" w:eastAsia="Times New Roman" w:hAnsi="Times New Roman" w:cs="Times New Roman"/>
          <w:sz w:val="20"/>
          <w:szCs w:val="20"/>
          <w:lang w:val="en-ID"/>
        </w:rPr>
        <w:t>behavior</w:t>
      </w:r>
      <w:proofErr w:type="spellEnd"/>
      <w:r w:rsidRPr="007137AD">
        <w:rPr>
          <w:rFonts w:ascii="Times New Roman" w:eastAsia="Times New Roman" w:hAnsi="Times New Roman" w:cs="Times New Roman"/>
          <w:sz w:val="20"/>
          <w:szCs w:val="20"/>
          <w:lang w:val="en-ID"/>
        </w:rPr>
        <w:t xml:space="preserve"> in teenagers", "</w:t>
      </w:r>
      <w:r>
        <w:rPr>
          <w:rFonts w:ascii="Times New Roman" w:eastAsia="Times New Roman" w:hAnsi="Times New Roman" w:cs="Times New Roman"/>
          <w:sz w:val="20"/>
          <w:szCs w:val="20"/>
          <w:lang w:val="en-ID"/>
        </w:rPr>
        <w:t>w</w:t>
      </w:r>
      <w:r w:rsidRPr="007137AD">
        <w:rPr>
          <w:rFonts w:ascii="Times New Roman" w:eastAsia="Times New Roman" w:hAnsi="Times New Roman" w:cs="Times New Roman"/>
          <w:sz w:val="20"/>
          <w:szCs w:val="20"/>
          <w:lang w:val="en-ID"/>
        </w:rPr>
        <w:t>hether teenagers are portrayed ass secretly using AI requiring parental supervision", and "</w:t>
      </w:r>
      <w:r>
        <w:rPr>
          <w:rFonts w:ascii="Times New Roman" w:eastAsia="Times New Roman" w:hAnsi="Times New Roman" w:cs="Times New Roman"/>
          <w:sz w:val="20"/>
          <w:szCs w:val="20"/>
          <w:lang w:val="en-ID"/>
        </w:rPr>
        <w:t>w</w:t>
      </w:r>
      <w:r w:rsidRPr="007137AD">
        <w:rPr>
          <w:rFonts w:ascii="Times New Roman" w:eastAsia="Times New Roman" w:hAnsi="Times New Roman" w:cs="Times New Roman"/>
          <w:sz w:val="20"/>
          <w:szCs w:val="20"/>
          <w:lang w:val="en-ID"/>
        </w:rPr>
        <w:t>hether AI is considered necessary for teenagers as a positive tool or space in their lives". These guidelines include operational definitions for each category, specific examples, and rules to address ambiguity during the coding process. This approach ensures consistency in the analysis conducted to produce reusable results. This research evaluates the main narratives in each news article to understand trends and patterns of AI portrayal in the context of teenagers' lives. </w:t>
      </w:r>
    </w:p>
    <w:p w14:paraId="39591FF0" w14:textId="3419A764" w:rsidR="00640082" w:rsidRPr="008F00EC" w:rsidRDefault="00640082" w:rsidP="00822617">
      <w:pPr>
        <w:spacing w:line="240" w:lineRule="auto"/>
        <w:ind w:left="284" w:firstLine="436"/>
        <w:rPr>
          <w:rFonts w:ascii="Times New Roman" w:eastAsia="Times New Roman" w:hAnsi="Times New Roman" w:cs="Times New Roman"/>
          <w:sz w:val="20"/>
          <w:szCs w:val="20"/>
          <w:lang w:val="en-ID"/>
        </w:rPr>
      </w:pPr>
      <w:r w:rsidRPr="007137AD">
        <w:rPr>
          <w:rFonts w:ascii="Times New Roman" w:eastAsia="Times New Roman" w:hAnsi="Times New Roman" w:cs="Times New Roman"/>
          <w:sz w:val="20"/>
          <w:szCs w:val="20"/>
          <w:lang w:val="en-ID"/>
        </w:rPr>
        <w:t>The focus of the analysis is on the frequency of each trend's appearance in the news. This process will help develop an understanding of how the media presents AI and teenagers' issues and their impact on shaping public opinion. This research is limited to news available in Indonesian and English from Google News search results with analysis, only covering news from credible and verifiable media.</w:t>
      </w:r>
    </w:p>
    <w:p w14:paraId="2B2B0185" w14:textId="77777777" w:rsidR="00640082" w:rsidRDefault="00640082" w:rsidP="00640082">
      <w:pPr>
        <w:numPr>
          <w:ilvl w:val="0"/>
          <w:numId w:val="10"/>
        </w:numPr>
        <w:spacing w:before="240" w:after="240" w:line="240" w:lineRule="auto"/>
        <w:ind w:left="283" w:hanging="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 and Discussion</w:t>
      </w:r>
    </w:p>
    <w:p w14:paraId="2BE62229" w14:textId="77777777" w:rsidR="00640082" w:rsidRPr="008F00EC" w:rsidRDefault="00640082" w:rsidP="008F00EC">
      <w:pPr>
        <w:spacing w:line="240" w:lineRule="auto"/>
        <w:ind w:left="284" w:firstLine="436"/>
        <w:rPr>
          <w:rFonts w:ascii="Times New Roman" w:eastAsia="Times New Roman" w:hAnsi="Times New Roman" w:cs="Times New Roman"/>
          <w:sz w:val="20"/>
          <w:szCs w:val="20"/>
          <w:lang w:val="en-ID"/>
        </w:rPr>
      </w:pPr>
      <w:r w:rsidRPr="008F00EC">
        <w:rPr>
          <w:rFonts w:ascii="Times New Roman" w:eastAsia="Times New Roman" w:hAnsi="Times New Roman" w:cs="Times New Roman"/>
          <w:sz w:val="20"/>
          <w:szCs w:val="20"/>
          <w:lang w:val="en-ID"/>
        </w:rPr>
        <w:t xml:space="preserve">This study explores how news articles depict AI and teenagers through a Google News search. The analysis was conducted using a quantitative approach and content analysis method to evaluate the prevalence of specific narratives about AI and teenagers in news reports. The research aims to identify and measure four main categories of representation in Articles: AI as a danger to teenagers, AI as a trigger for problematic </w:t>
      </w:r>
      <w:proofErr w:type="spellStart"/>
      <w:r w:rsidRPr="008F00EC">
        <w:rPr>
          <w:rFonts w:ascii="Times New Roman" w:eastAsia="Times New Roman" w:hAnsi="Times New Roman" w:cs="Times New Roman"/>
          <w:sz w:val="20"/>
          <w:szCs w:val="20"/>
          <w:lang w:val="en-ID"/>
        </w:rPr>
        <w:t>behavior</w:t>
      </w:r>
      <w:proofErr w:type="spellEnd"/>
      <w:r w:rsidRPr="008F00EC">
        <w:rPr>
          <w:rFonts w:ascii="Times New Roman" w:eastAsia="Times New Roman" w:hAnsi="Times New Roman" w:cs="Times New Roman"/>
          <w:sz w:val="20"/>
          <w:szCs w:val="20"/>
          <w:lang w:val="en-ID"/>
        </w:rPr>
        <w:t xml:space="preserve"> in teenagers, the covert use of AI by teenagers, and AI as a positive space for teenagers.</w:t>
      </w:r>
    </w:p>
    <w:p w14:paraId="7CCDB5A6" w14:textId="5C2D7A70" w:rsidR="00640082" w:rsidRPr="008F00EC" w:rsidRDefault="00640082" w:rsidP="00064125">
      <w:pPr>
        <w:spacing w:line="240" w:lineRule="auto"/>
        <w:ind w:left="284" w:firstLine="436"/>
        <w:rPr>
          <w:rFonts w:ascii="Times New Roman" w:eastAsia="Times New Roman" w:hAnsi="Times New Roman" w:cs="Times New Roman"/>
          <w:sz w:val="20"/>
          <w:szCs w:val="20"/>
          <w:lang w:val="en-ID"/>
        </w:rPr>
      </w:pPr>
      <w:r w:rsidRPr="008F00EC">
        <w:rPr>
          <w:rFonts w:ascii="Times New Roman" w:eastAsia="Times New Roman" w:hAnsi="Times New Roman" w:cs="Times New Roman"/>
          <w:sz w:val="20"/>
          <w:szCs w:val="20"/>
          <w:lang w:val="en-ID"/>
        </w:rPr>
        <w:t>Each news article was assessed based on the presence or absence of corresponding narratives to the categories using a two-level scale system. A score of zero (0) indicates the absence of the narrative, while a score of one (1) indicates the presence of the narrative falling into that category. This method allows for a quantitative assessment of the prevalence of narratives in each category, providing a clearer picture of the media’s portrayal of AI and teenagers.</w:t>
      </w:r>
    </w:p>
    <w:p w14:paraId="7ABEAD44" w14:textId="77777777" w:rsidR="00640082" w:rsidRPr="008F00EC" w:rsidRDefault="00640082" w:rsidP="008F00EC">
      <w:pPr>
        <w:spacing w:after="240"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Theme</w:t>
      </w:r>
    </w:p>
    <w:p w14:paraId="000A1599" w14:textId="77777777" w:rsidR="00640082" w:rsidRDefault="00640082">
      <w:pPr>
        <w:spacing w:line="240" w:lineRule="auto"/>
        <w:jc w:val="center"/>
        <w:rPr>
          <w:rFonts w:ascii="Times New Roman" w:eastAsia="Times New Roman" w:hAnsi="Times New Roman" w:cs="Times New Roman"/>
          <w:sz w:val="20"/>
          <w:szCs w:val="20"/>
        </w:rPr>
      </w:pPr>
      <w:r>
        <w:rPr>
          <w:noProof/>
          <w:color w:val="000000"/>
          <w:bdr w:val="none" w:sz="0" w:space="0" w:color="auto" w:frame="1"/>
        </w:rPr>
        <w:drawing>
          <wp:inline distT="0" distB="0" distL="0" distR="0" wp14:anchorId="09A2CBFE" wp14:editId="27F01580">
            <wp:extent cx="2666594" cy="1688465"/>
            <wp:effectExtent l="0" t="0" r="0" b="0"/>
            <wp:docPr id="1771860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5138"/>
                    <a:stretch/>
                  </pic:blipFill>
                  <pic:spPr bwMode="auto">
                    <a:xfrm>
                      <a:off x="0" y="0"/>
                      <a:ext cx="2667000" cy="1688722"/>
                    </a:xfrm>
                    <a:prstGeom prst="rect">
                      <a:avLst/>
                    </a:prstGeom>
                    <a:noFill/>
                    <a:ln>
                      <a:noFill/>
                    </a:ln>
                    <a:extLst>
                      <a:ext uri="{53640926-AAD7-44D8-BBD7-CCE9431645EC}">
                        <a14:shadowObscured xmlns:a14="http://schemas.microsoft.com/office/drawing/2010/main"/>
                      </a:ext>
                    </a:extLst>
                  </pic:spPr>
                </pic:pic>
              </a:graphicData>
            </a:graphic>
          </wp:inline>
        </w:drawing>
      </w:r>
    </w:p>
    <w:p w14:paraId="1DEB46DB" w14:textId="77777777" w:rsidR="00640082" w:rsidRDefault="00640082" w:rsidP="00B23F9D">
      <w:pPr>
        <w:spacing w:after="240" w:line="24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1. </w:t>
      </w:r>
      <w:r>
        <w:rPr>
          <w:rFonts w:ascii="Times New Roman" w:eastAsia="Times New Roman" w:hAnsi="Times New Roman" w:cs="Times New Roman"/>
          <w:sz w:val="20"/>
          <w:szCs w:val="20"/>
        </w:rPr>
        <w:t>Comparison of the Percentage of AI and Teenager Portrayal Themes in the News</w:t>
      </w:r>
    </w:p>
    <w:p w14:paraId="291C044B" w14:textId="526A8998" w:rsidR="00640082" w:rsidRPr="00D437F5" w:rsidRDefault="00640082" w:rsidP="00064125">
      <w:pPr>
        <w:spacing w:line="240" w:lineRule="auto"/>
        <w:ind w:left="284" w:firstLine="436"/>
        <w:rPr>
          <w:rFonts w:ascii="Times New Roman" w:eastAsia="Times New Roman" w:hAnsi="Times New Roman" w:cs="Times New Roman"/>
          <w:sz w:val="20"/>
          <w:szCs w:val="20"/>
          <w:lang w:val="en-ID"/>
        </w:rPr>
      </w:pPr>
      <w:r w:rsidRPr="00836750">
        <w:rPr>
          <w:rFonts w:ascii="Times New Roman" w:eastAsia="Times New Roman" w:hAnsi="Times New Roman" w:cs="Times New Roman"/>
          <w:sz w:val="20"/>
          <w:szCs w:val="20"/>
        </w:rPr>
        <w:t>Figure 1 shows the thematic analysis results on the depiction of AI and teenagers in news articles. The theme 'psychological' is the most dominant, accounting for 48% of the narratives. This theme includes articles discussing the impact of AI on teenagers' mental health. The theme 'criminal' ranks second, with 40%, highlighting narratives that show the role of AI in illegal activities or its irresponsible use by teenagers. The theme 'education' is the least represented, focusing on only 12% of the potential of AI for teenagers. These findings indicate that media narratives about AI and teenagers emphasize negative impacts, particularly on psychological and criminal aspects, rather than positive narratives like education. This underscores the media’s focus on the controversial aspects of AI.</w:t>
      </w:r>
    </w:p>
    <w:p w14:paraId="32DD7355" w14:textId="77777777" w:rsidR="00640082" w:rsidRDefault="00640082" w:rsidP="00D437F5">
      <w:pPr>
        <w:spacing w:after="240"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AI is Dangerous for Teens</w:t>
      </w:r>
    </w:p>
    <w:p w14:paraId="749E65A8" w14:textId="77777777" w:rsidR="00640082" w:rsidRDefault="00640082">
      <w:pPr>
        <w:spacing w:line="240" w:lineRule="auto"/>
        <w:jc w:val="center"/>
        <w:rPr>
          <w:rFonts w:ascii="Times New Roman" w:eastAsia="Times New Roman" w:hAnsi="Times New Roman" w:cs="Times New Roman"/>
          <w:b/>
          <w:i/>
          <w:sz w:val="20"/>
          <w:szCs w:val="20"/>
        </w:rPr>
      </w:pPr>
      <w:r>
        <w:rPr>
          <w:b/>
          <w:bCs/>
          <w:i/>
          <w:iCs/>
          <w:noProof/>
          <w:color w:val="000000"/>
          <w:bdr w:val="none" w:sz="0" w:space="0" w:color="auto" w:frame="1"/>
        </w:rPr>
        <w:drawing>
          <wp:inline distT="0" distB="0" distL="0" distR="0" wp14:anchorId="3D451A04" wp14:editId="1F03D3D6">
            <wp:extent cx="1990978" cy="1668780"/>
            <wp:effectExtent l="0" t="0" r="0" b="0"/>
            <wp:docPr id="751872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6941" r="10713"/>
                    <a:stretch/>
                  </pic:blipFill>
                  <pic:spPr bwMode="auto">
                    <a:xfrm>
                      <a:off x="0" y="0"/>
                      <a:ext cx="2001661" cy="1677734"/>
                    </a:xfrm>
                    <a:prstGeom prst="rect">
                      <a:avLst/>
                    </a:prstGeom>
                    <a:noFill/>
                    <a:ln>
                      <a:noFill/>
                    </a:ln>
                    <a:extLst>
                      <a:ext uri="{53640926-AAD7-44D8-BBD7-CCE9431645EC}">
                        <a14:shadowObscured xmlns:a14="http://schemas.microsoft.com/office/drawing/2010/main"/>
                      </a:ext>
                    </a:extLst>
                  </pic:spPr>
                </pic:pic>
              </a:graphicData>
            </a:graphic>
          </wp:inline>
        </w:drawing>
      </w:r>
    </w:p>
    <w:p w14:paraId="7BAEDFCE" w14:textId="77777777" w:rsidR="00640082" w:rsidRDefault="00640082" w:rsidP="00B23F9D">
      <w:pPr>
        <w:spacing w:after="240" w:line="24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2. </w:t>
      </w:r>
      <w:r>
        <w:rPr>
          <w:rFonts w:ascii="Times New Roman" w:eastAsia="Times New Roman" w:hAnsi="Times New Roman" w:cs="Times New Roman"/>
          <w:sz w:val="20"/>
          <w:szCs w:val="20"/>
        </w:rPr>
        <w:t>Comparison of the Percentage of Harmful AI for Teenagers in the News</w:t>
      </w:r>
    </w:p>
    <w:p w14:paraId="12BE05C4" w14:textId="3E6F6460" w:rsidR="00640082" w:rsidRPr="00064125" w:rsidRDefault="00640082" w:rsidP="00064125">
      <w:pPr>
        <w:spacing w:line="240" w:lineRule="auto"/>
        <w:ind w:left="284" w:firstLine="436"/>
        <w:rPr>
          <w:rFonts w:ascii="Times New Roman" w:eastAsia="Times New Roman" w:hAnsi="Times New Roman" w:cs="Times New Roman"/>
          <w:sz w:val="20"/>
          <w:szCs w:val="20"/>
          <w:lang w:val="en-ID"/>
        </w:rPr>
      </w:pPr>
      <w:r w:rsidRPr="00D437F5">
        <w:rPr>
          <w:rFonts w:ascii="Times New Roman" w:eastAsia="Times New Roman" w:hAnsi="Times New Roman" w:cs="Times New Roman"/>
          <w:sz w:val="20"/>
          <w:szCs w:val="20"/>
          <w:lang w:val="en-ID"/>
        </w:rPr>
        <w:t xml:space="preserve">Figure 2 highlights the analysis of </w:t>
      </w:r>
      <w:r>
        <w:rPr>
          <w:rFonts w:ascii="Times New Roman" w:eastAsia="Times New Roman" w:hAnsi="Times New Roman" w:cs="Times New Roman"/>
          <w:sz w:val="20"/>
          <w:szCs w:val="20"/>
          <w:lang w:val="en-ID"/>
        </w:rPr>
        <w:t>how</w:t>
      </w:r>
      <w:r w:rsidRPr="00D437F5">
        <w:rPr>
          <w:rFonts w:ascii="Times New Roman" w:eastAsia="Times New Roman" w:hAnsi="Times New Roman" w:cs="Times New Roman"/>
          <w:sz w:val="20"/>
          <w:szCs w:val="20"/>
          <w:lang w:val="en-ID"/>
        </w:rPr>
        <w:t xml:space="preserve"> AI </w:t>
      </w:r>
      <w:r>
        <w:rPr>
          <w:rFonts w:ascii="Times New Roman" w:eastAsia="Times New Roman" w:hAnsi="Times New Roman" w:cs="Times New Roman"/>
          <w:sz w:val="20"/>
          <w:szCs w:val="20"/>
          <w:lang w:val="en-ID"/>
        </w:rPr>
        <w:t>is portrayed as</w:t>
      </w:r>
      <w:r w:rsidRPr="00D437F5">
        <w:rPr>
          <w:rFonts w:ascii="Times New Roman" w:eastAsia="Times New Roman" w:hAnsi="Times New Roman" w:cs="Times New Roman"/>
          <w:sz w:val="20"/>
          <w:szCs w:val="20"/>
          <w:lang w:val="en-ID"/>
        </w:rPr>
        <w:t xml:space="preserve"> a danger to teenagers. 72% of the articles depict AI as a threat, with negative impacts such as declining social life quality, increasing anxiety, and worsening psychological conditions</w:t>
      </w:r>
      <w:r>
        <w:rPr>
          <w:rFonts w:ascii="Times New Roman" w:eastAsia="Times New Roman" w:hAnsi="Times New Roman" w:cs="Times New Roman"/>
          <w:sz w:val="20"/>
          <w:szCs w:val="20"/>
          <w:lang w:val="en-ID"/>
        </w:rPr>
        <w:t xml:space="preserve"> among teenagers</w:t>
      </w:r>
      <w:r w:rsidRPr="00D437F5">
        <w:rPr>
          <w:rFonts w:ascii="Times New Roman" w:eastAsia="Times New Roman" w:hAnsi="Times New Roman" w:cs="Times New Roman"/>
          <w:sz w:val="20"/>
          <w:szCs w:val="20"/>
          <w:lang w:val="en-ID"/>
        </w:rPr>
        <w:t>. Conversely, 28% adopt a more neutral or positive perspective. This imbalance indicates that although concerns about the dangers of AI to teenagers are often highlighted, the majority of media reports do not explicitly state the</w:t>
      </w:r>
      <w:r>
        <w:rPr>
          <w:rFonts w:ascii="Times New Roman" w:eastAsia="Times New Roman" w:hAnsi="Times New Roman" w:cs="Times New Roman"/>
          <w:sz w:val="20"/>
          <w:szCs w:val="20"/>
          <w:lang w:val="en-ID"/>
        </w:rPr>
        <w:t xml:space="preserve">se </w:t>
      </w:r>
      <w:r w:rsidRPr="00D437F5">
        <w:rPr>
          <w:rFonts w:ascii="Times New Roman" w:eastAsia="Times New Roman" w:hAnsi="Times New Roman" w:cs="Times New Roman"/>
          <w:sz w:val="20"/>
          <w:szCs w:val="20"/>
          <w:lang w:val="en-ID"/>
        </w:rPr>
        <w:t>negative impacts.</w:t>
      </w:r>
    </w:p>
    <w:p w14:paraId="1EEFE6FA" w14:textId="77777777" w:rsidR="00640082" w:rsidRDefault="00640082" w:rsidP="00836750">
      <w:pPr>
        <w:spacing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AI Triggers Problematic Behavior</w:t>
      </w:r>
    </w:p>
    <w:p w14:paraId="747CD631" w14:textId="77777777" w:rsidR="00640082" w:rsidRDefault="00640082">
      <w:pPr>
        <w:spacing w:line="240" w:lineRule="auto"/>
        <w:jc w:val="center"/>
        <w:rPr>
          <w:rFonts w:ascii="Times New Roman" w:eastAsia="Times New Roman" w:hAnsi="Times New Roman" w:cs="Times New Roman"/>
          <w:b/>
          <w:i/>
          <w:sz w:val="20"/>
          <w:szCs w:val="20"/>
        </w:rPr>
      </w:pPr>
      <w:r>
        <w:rPr>
          <w:b/>
          <w:bCs/>
          <w:i/>
          <w:iCs/>
          <w:noProof/>
          <w:color w:val="000000"/>
          <w:bdr w:val="none" w:sz="0" w:space="0" w:color="auto" w:frame="1"/>
        </w:rPr>
        <w:drawing>
          <wp:inline distT="0" distB="0" distL="0" distR="0" wp14:anchorId="70E27E0C" wp14:editId="3C0A933D">
            <wp:extent cx="2819400" cy="1828800"/>
            <wp:effectExtent l="0" t="0" r="0" b="0"/>
            <wp:docPr id="1240542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6">
                      <a:extLst>
                        <a:ext uri="{28A0092B-C50C-407E-A947-70E740481C1C}">
                          <a14:useLocalDpi xmlns:a14="http://schemas.microsoft.com/office/drawing/2010/main" val="0"/>
                        </a:ext>
                      </a:extLst>
                    </a:blip>
                    <a:srcRect t="3846" b="3846"/>
                    <a:stretch/>
                  </pic:blipFill>
                  <pic:spPr bwMode="auto">
                    <a:xfrm>
                      <a:off x="0" y="0"/>
                      <a:ext cx="2819400"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7431F9AD" w14:textId="77777777" w:rsidR="00640082" w:rsidRDefault="00640082" w:rsidP="00B23F9D">
      <w:pPr>
        <w:spacing w:after="240" w:line="240" w:lineRule="auto"/>
        <w:ind w:left="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3. </w:t>
      </w:r>
      <w:r>
        <w:rPr>
          <w:rFonts w:ascii="Times New Roman" w:eastAsia="Times New Roman" w:hAnsi="Times New Roman" w:cs="Times New Roman"/>
          <w:sz w:val="20"/>
          <w:szCs w:val="20"/>
        </w:rPr>
        <w:t>Comparison of Percentage of AI Triggers of Teenagers Problem Behavior in the News</w:t>
      </w:r>
    </w:p>
    <w:p w14:paraId="273015F0" w14:textId="089B0730" w:rsidR="00640082" w:rsidRDefault="00640082" w:rsidP="00064125">
      <w:pPr>
        <w:spacing w:line="240" w:lineRule="auto"/>
        <w:ind w:left="284" w:firstLine="436"/>
        <w:rPr>
          <w:rFonts w:ascii="Times New Roman" w:eastAsia="Times New Roman" w:hAnsi="Times New Roman" w:cs="Times New Roman"/>
          <w:sz w:val="20"/>
          <w:szCs w:val="20"/>
        </w:rPr>
      </w:pPr>
      <w:r w:rsidRPr="00B23F9D">
        <w:rPr>
          <w:rFonts w:ascii="Times New Roman" w:eastAsia="Times New Roman" w:hAnsi="Times New Roman" w:cs="Times New Roman"/>
          <w:sz w:val="20"/>
          <w:szCs w:val="20"/>
        </w:rPr>
        <w:t xml:space="preserve">Figure 3 shows that 68% of articles depict AI </w:t>
      </w:r>
      <w:r>
        <w:rPr>
          <w:rFonts w:ascii="Times New Roman" w:eastAsia="Times New Roman" w:hAnsi="Times New Roman" w:cs="Times New Roman"/>
          <w:sz w:val="20"/>
          <w:szCs w:val="20"/>
        </w:rPr>
        <w:t xml:space="preserve">as </w:t>
      </w:r>
      <w:r w:rsidRPr="00B23F9D">
        <w:rPr>
          <w:rFonts w:ascii="Times New Roman" w:eastAsia="Times New Roman" w:hAnsi="Times New Roman" w:cs="Times New Roman"/>
          <w:sz w:val="20"/>
          <w:szCs w:val="20"/>
        </w:rPr>
        <w:t xml:space="preserve">exacerbating teenage behavior, highlighting cases of misuse such as the exploitation of AI platforms for illegal activities. Meanwhile, 32% do not explicitly discuss this relationship. These findings indicate significant media attention to social issues arising from technological advancements, although not all media </w:t>
      </w:r>
      <w:r>
        <w:rPr>
          <w:rFonts w:ascii="Times New Roman" w:eastAsia="Times New Roman" w:hAnsi="Times New Roman" w:cs="Times New Roman"/>
          <w:sz w:val="20"/>
          <w:szCs w:val="20"/>
        </w:rPr>
        <w:t xml:space="preserve">sources </w:t>
      </w:r>
      <w:r w:rsidRPr="00B23F9D">
        <w:rPr>
          <w:rFonts w:ascii="Times New Roman" w:eastAsia="Times New Roman" w:hAnsi="Times New Roman" w:cs="Times New Roman"/>
          <w:sz w:val="20"/>
          <w:szCs w:val="20"/>
        </w:rPr>
        <w:t>identify AI as a primary factor influencing teenage behavior.</w:t>
      </w:r>
    </w:p>
    <w:p w14:paraId="7AC64EBB" w14:textId="77777777" w:rsidR="00640082" w:rsidRDefault="00640082" w:rsidP="00B23F9D">
      <w:pPr>
        <w:spacing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AI Accessed Silently</w:t>
      </w:r>
    </w:p>
    <w:p w14:paraId="24C76521" w14:textId="77777777" w:rsidR="00640082" w:rsidRDefault="00640082">
      <w:pPr>
        <w:spacing w:line="240" w:lineRule="auto"/>
        <w:jc w:val="center"/>
        <w:rPr>
          <w:rFonts w:ascii="Times New Roman" w:eastAsia="Times New Roman" w:hAnsi="Times New Roman" w:cs="Times New Roman"/>
          <w:b/>
          <w:i/>
          <w:sz w:val="20"/>
          <w:szCs w:val="20"/>
        </w:rPr>
      </w:pPr>
      <w:r>
        <w:rPr>
          <w:b/>
          <w:bCs/>
          <w:i/>
          <w:iCs/>
          <w:noProof/>
          <w:color w:val="000000"/>
          <w:bdr w:val="none" w:sz="0" w:space="0" w:color="auto" w:frame="1"/>
        </w:rPr>
        <w:drawing>
          <wp:inline distT="0" distB="0" distL="0" distR="0" wp14:anchorId="7CBF4ED1" wp14:editId="523FA8F4">
            <wp:extent cx="3352800" cy="1859280"/>
            <wp:effectExtent l="0" t="0" r="0" b="7620"/>
            <wp:docPr id="6693557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7">
                      <a:extLst>
                        <a:ext uri="{28A0092B-C50C-407E-A947-70E740481C1C}">
                          <a14:useLocalDpi xmlns:a14="http://schemas.microsoft.com/office/drawing/2010/main" val="0"/>
                        </a:ext>
                      </a:extLst>
                    </a:blip>
                    <a:srcRect t="4151" b="3774"/>
                    <a:stretch/>
                  </pic:blipFill>
                  <pic:spPr bwMode="auto">
                    <a:xfrm>
                      <a:off x="0" y="0"/>
                      <a:ext cx="3352800" cy="1859280"/>
                    </a:xfrm>
                    <a:prstGeom prst="rect">
                      <a:avLst/>
                    </a:prstGeom>
                    <a:noFill/>
                    <a:ln>
                      <a:noFill/>
                    </a:ln>
                    <a:extLst>
                      <a:ext uri="{53640926-AAD7-44D8-BBD7-CCE9431645EC}">
                        <a14:shadowObscured xmlns:a14="http://schemas.microsoft.com/office/drawing/2010/main"/>
                      </a:ext>
                    </a:extLst>
                  </pic:spPr>
                </pic:pic>
              </a:graphicData>
            </a:graphic>
          </wp:inline>
        </w:drawing>
      </w:r>
    </w:p>
    <w:p w14:paraId="107F6CF2" w14:textId="77777777" w:rsidR="00640082" w:rsidRDefault="00640082" w:rsidP="00D1745D">
      <w:pPr>
        <w:spacing w:after="240" w:line="24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4. </w:t>
      </w:r>
      <w:r>
        <w:rPr>
          <w:rFonts w:ascii="Times New Roman" w:eastAsia="Times New Roman" w:hAnsi="Times New Roman" w:cs="Times New Roman"/>
          <w:sz w:val="20"/>
          <w:szCs w:val="20"/>
        </w:rPr>
        <w:t>Comparison of the Percentage of AI Accessed Secretly in News</w:t>
      </w:r>
    </w:p>
    <w:p w14:paraId="5CF26281" w14:textId="4A2F0336" w:rsidR="00640082" w:rsidRPr="00D1745D" w:rsidRDefault="00640082" w:rsidP="00064125">
      <w:pPr>
        <w:spacing w:line="240" w:lineRule="auto"/>
        <w:ind w:left="284" w:firstLine="436"/>
        <w:rPr>
          <w:rFonts w:ascii="Times New Roman" w:eastAsia="Times New Roman" w:hAnsi="Times New Roman" w:cs="Times New Roman"/>
          <w:sz w:val="20"/>
          <w:szCs w:val="20"/>
          <w:lang w:val="en-ID"/>
        </w:rPr>
      </w:pPr>
      <w:r w:rsidRPr="00D1745D">
        <w:rPr>
          <w:rFonts w:ascii="Times New Roman" w:eastAsia="Times New Roman" w:hAnsi="Times New Roman" w:cs="Times New Roman"/>
          <w:sz w:val="20"/>
          <w:szCs w:val="20"/>
          <w:lang w:val="en-ID"/>
        </w:rPr>
        <w:t>Figure 4 shows the proportion of articles depicting teenagers using AI secretly or without adult supervision. 25% of the articles discuss this narrative, linking it to risks such as privacy violations or technology misuse. However, 75% of the articles do not address this issue. This relatively rare narrative indicates that the media does not prioritize concerns about surveillance in teenagers' use of AI, even though this issue is important in daily life.</w:t>
      </w:r>
    </w:p>
    <w:p w14:paraId="59B9E0C1" w14:textId="77777777" w:rsidR="00640082" w:rsidRDefault="00640082" w:rsidP="00D1745D">
      <w:pPr>
        <w:spacing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Positive AI Stories</w:t>
      </w:r>
    </w:p>
    <w:p w14:paraId="4AF0298C" w14:textId="77777777" w:rsidR="00640082" w:rsidRDefault="00640082">
      <w:pPr>
        <w:spacing w:line="240" w:lineRule="auto"/>
        <w:jc w:val="center"/>
        <w:rPr>
          <w:rFonts w:ascii="Times New Roman" w:eastAsia="Times New Roman" w:hAnsi="Times New Roman" w:cs="Times New Roman"/>
          <w:b/>
          <w:i/>
          <w:sz w:val="20"/>
          <w:szCs w:val="20"/>
        </w:rPr>
      </w:pPr>
      <w:r>
        <w:rPr>
          <w:b/>
          <w:bCs/>
          <w:i/>
          <w:iCs/>
          <w:noProof/>
          <w:color w:val="000000"/>
          <w:bdr w:val="none" w:sz="0" w:space="0" w:color="auto" w:frame="1"/>
        </w:rPr>
        <w:drawing>
          <wp:inline distT="0" distB="0" distL="0" distR="0" wp14:anchorId="6F416A63" wp14:editId="3B9B3853">
            <wp:extent cx="3185160" cy="1981200"/>
            <wp:effectExtent l="0" t="0" r="0" b="0"/>
            <wp:docPr id="19636924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5160" cy="1981200"/>
                    </a:xfrm>
                    <a:prstGeom prst="rect">
                      <a:avLst/>
                    </a:prstGeom>
                    <a:noFill/>
                    <a:ln>
                      <a:noFill/>
                    </a:ln>
                  </pic:spPr>
                </pic:pic>
              </a:graphicData>
            </a:graphic>
          </wp:inline>
        </w:drawing>
      </w:r>
    </w:p>
    <w:p w14:paraId="7A76CD1A" w14:textId="77777777" w:rsidR="00640082" w:rsidRDefault="00640082" w:rsidP="00D1745D">
      <w:pPr>
        <w:spacing w:after="240" w:line="24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5. </w:t>
      </w:r>
      <w:r>
        <w:rPr>
          <w:rFonts w:ascii="Times New Roman" w:eastAsia="Times New Roman" w:hAnsi="Times New Roman" w:cs="Times New Roman"/>
          <w:sz w:val="20"/>
          <w:szCs w:val="20"/>
        </w:rPr>
        <w:t>Comparison of the Percentage of Positive Stories on AI Usage in the News</w:t>
      </w:r>
    </w:p>
    <w:p w14:paraId="3AA75834" w14:textId="77777777" w:rsidR="00640082" w:rsidRPr="00D1745D" w:rsidRDefault="00640082" w:rsidP="00D1745D">
      <w:pPr>
        <w:spacing w:line="240" w:lineRule="auto"/>
        <w:ind w:left="284" w:firstLine="436"/>
        <w:rPr>
          <w:rFonts w:ascii="Times New Roman" w:eastAsia="Times New Roman" w:hAnsi="Times New Roman" w:cs="Times New Roman"/>
          <w:sz w:val="20"/>
          <w:szCs w:val="20"/>
          <w:lang w:val="en-ID"/>
        </w:rPr>
      </w:pPr>
      <w:r w:rsidRPr="00D1745D">
        <w:rPr>
          <w:rFonts w:ascii="Times New Roman" w:eastAsia="Times New Roman" w:hAnsi="Times New Roman" w:cs="Times New Roman"/>
          <w:sz w:val="20"/>
          <w:szCs w:val="20"/>
          <w:lang w:val="en-ID"/>
        </w:rPr>
        <w:t>Figure 5 presents an analysis of the portrayal of AI as a positive space for teenagers. Only 13% of the articles emphasize the benefits of AI, such as fostering creativity, supporting education, or facilitating innovation among teenagers. In contrast, 87% of the articles do not discuss AI in this context. These results indicate that the media rarely highlight the potential of AI to help teenagers optimize their potential compared to negative or neutral narratives.</w:t>
      </w:r>
    </w:p>
    <w:p w14:paraId="40EFA32C" w14:textId="77777777" w:rsidR="00640082" w:rsidRDefault="00640082" w:rsidP="00A436C4">
      <w:pPr>
        <w:spacing w:line="240" w:lineRule="auto"/>
        <w:ind w:left="284" w:firstLine="436"/>
        <w:rPr>
          <w:rFonts w:ascii="Times New Roman" w:eastAsia="Times New Roman" w:hAnsi="Times New Roman" w:cs="Times New Roman"/>
          <w:sz w:val="20"/>
          <w:szCs w:val="20"/>
        </w:rPr>
      </w:pPr>
    </w:p>
    <w:p w14:paraId="4453B87C" w14:textId="77777777" w:rsidR="00640082" w:rsidRDefault="00640082" w:rsidP="00D1745D">
      <w:pPr>
        <w:spacing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Portrayal of the Relationship Between AI and Teens in the News</w:t>
      </w:r>
    </w:p>
    <w:p w14:paraId="5AD93D4B" w14:textId="77777777" w:rsidR="00640082" w:rsidRDefault="00640082" w:rsidP="00D1745D">
      <w:pPr>
        <w:spacing w:line="240" w:lineRule="auto"/>
        <w:jc w:val="center"/>
        <w:rPr>
          <w:rFonts w:ascii="Times New Roman" w:eastAsia="Times New Roman" w:hAnsi="Times New Roman" w:cs="Times New Roman"/>
          <w:i/>
          <w:sz w:val="20"/>
          <w:szCs w:val="20"/>
        </w:rPr>
      </w:pPr>
      <w:r>
        <w:rPr>
          <w:i/>
          <w:iCs/>
          <w:noProof/>
          <w:color w:val="000000"/>
          <w:bdr w:val="none" w:sz="0" w:space="0" w:color="auto" w:frame="1"/>
        </w:rPr>
        <w:drawing>
          <wp:inline distT="0" distB="0" distL="0" distR="0" wp14:anchorId="4CCC9268" wp14:editId="5F1979D8">
            <wp:extent cx="3810000" cy="2392680"/>
            <wp:effectExtent l="0" t="0" r="0" b="7620"/>
            <wp:docPr id="10312555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2392680"/>
                    </a:xfrm>
                    <a:prstGeom prst="rect">
                      <a:avLst/>
                    </a:prstGeom>
                    <a:noFill/>
                    <a:ln>
                      <a:noFill/>
                    </a:ln>
                  </pic:spPr>
                </pic:pic>
              </a:graphicData>
            </a:graphic>
          </wp:inline>
        </w:drawing>
      </w:r>
    </w:p>
    <w:p w14:paraId="5B1154B0" w14:textId="77777777" w:rsidR="00640082" w:rsidRPr="00D1745D" w:rsidRDefault="00640082" w:rsidP="00D1745D">
      <w:pPr>
        <w:spacing w:after="240" w:line="240" w:lineRule="auto"/>
        <w:ind w:firstLine="709"/>
        <w:jc w:val="center"/>
        <w:rPr>
          <w:rFonts w:ascii="Times New Roman" w:eastAsia="Times New Roman" w:hAnsi="Times New Roman" w:cs="Times New Roman"/>
          <w:i/>
          <w:sz w:val="20"/>
          <w:szCs w:val="20"/>
        </w:rPr>
      </w:pPr>
      <w:r>
        <w:rPr>
          <w:rFonts w:ascii="Times New Roman" w:eastAsia="Times New Roman" w:hAnsi="Times New Roman" w:cs="Times New Roman"/>
          <w:b/>
          <w:sz w:val="20"/>
          <w:szCs w:val="20"/>
        </w:rPr>
        <w:t xml:space="preserve">Figure 6. </w:t>
      </w:r>
      <w:r>
        <w:rPr>
          <w:rFonts w:ascii="Times New Roman" w:eastAsia="Times New Roman" w:hAnsi="Times New Roman" w:cs="Times New Roman"/>
          <w:sz w:val="20"/>
          <w:szCs w:val="20"/>
        </w:rPr>
        <w:t>Responses to the Depiction of the Relationship Between AI and Teenagers in the News</w:t>
      </w:r>
    </w:p>
    <w:p w14:paraId="42EADA19" w14:textId="77777777" w:rsidR="00640082" w:rsidRPr="00A92063" w:rsidRDefault="00640082" w:rsidP="00A92063">
      <w:pPr>
        <w:spacing w:line="240" w:lineRule="auto"/>
        <w:ind w:left="284" w:firstLine="425"/>
        <w:rPr>
          <w:rFonts w:ascii="Times New Roman" w:eastAsia="Times New Roman" w:hAnsi="Times New Roman" w:cs="Times New Roman"/>
          <w:sz w:val="20"/>
          <w:szCs w:val="20"/>
          <w:lang w:val="en-ID"/>
        </w:rPr>
      </w:pPr>
      <w:r w:rsidRPr="00A92063">
        <w:rPr>
          <w:rFonts w:ascii="Times New Roman" w:eastAsia="Times New Roman" w:hAnsi="Times New Roman" w:cs="Times New Roman"/>
          <w:sz w:val="20"/>
          <w:szCs w:val="20"/>
          <w:lang w:val="en-ID"/>
        </w:rPr>
        <w:t xml:space="preserve">Figure 6 depicts an analysis of the portrayal of AI and teenagers in four categories. The first category, positive AI narratives, appears in only 8 articles, indicating a lack of coverage of the positive impact of AI on teenagers. The second category, covert use of AI, appears in 15 articles, reflecting concerns about teenagers accessing AI unsupervised. The third category, AI as a trigger for problematic </w:t>
      </w:r>
      <w:proofErr w:type="spellStart"/>
      <w:r w:rsidRPr="00A92063">
        <w:rPr>
          <w:rFonts w:ascii="Times New Roman" w:eastAsia="Times New Roman" w:hAnsi="Times New Roman" w:cs="Times New Roman"/>
          <w:sz w:val="20"/>
          <w:szCs w:val="20"/>
          <w:lang w:val="en-ID"/>
        </w:rPr>
        <w:t>behavior</w:t>
      </w:r>
      <w:proofErr w:type="spellEnd"/>
      <w:r>
        <w:rPr>
          <w:rFonts w:ascii="Times New Roman" w:eastAsia="Times New Roman" w:hAnsi="Times New Roman" w:cs="Times New Roman"/>
          <w:sz w:val="20"/>
          <w:szCs w:val="20"/>
          <w:lang w:val="en-ID"/>
        </w:rPr>
        <w:t xml:space="preserve"> </w:t>
      </w:r>
      <w:r w:rsidRPr="00A92063">
        <w:rPr>
          <w:rFonts w:ascii="Times New Roman" w:eastAsia="Times New Roman" w:hAnsi="Times New Roman" w:cs="Times New Roman"/>
          <w:sz w:val="20"/>
          <w:szCs w:val="20"/>
          <w:lang w:val="en-ID"/>
        </w:rPr>
        <w:t>is found in 41 articles, showing significant media attention to this issue. The fourth category, AI as a danger to teenagers, is the largest with 43 articles, highlighting the media's significant concerns about the negative impact of AI. These findings indicate that the majority of articles emphasize narratives that underline the risks and dangers of AI for teenagers.</w:t>
      </w:r>
    </w:p>
    <w:p w14:paraId="46BDDC14" w14:textId="77777777" w:rsidR="00640082" w:rsidRDefault="00640082" w:rsidP="00A436C4">
      <w:pPr>
        <w:spacing w:line="240" w:lineRule="auto"/>
        <w:ind w:left="284" w:firstLine="425"/>
        <w:rPr>
          <w:rFonts w:ascii="Times New Roman" w:eastAsia="Times New Roman" w:hAnsi="Times New Roman" w:cs="Times New Roman"/>
          <w:sz w:val="20"/>
          <w:szCs w:val="20"/>
        </w:rPr>
      </w:pPr>
    </w:p>
    <w:p w14:paraId="7CB0D3CA" w14:textId="77777777" w:rsidR="00640082" w:rsidRDefault="00640082" w:rsidP="00A436C4">
      <w:pPr>
        <w:spacing w:line="240" w:lineRule="auto"/>
        <w:ind w:left="284" w:firstLine="425"/>
        <w:rPr>
          <w:rFonts w:ascii="Times New Roman" w:eastAsia="Times New Roman" w:hAnsi="Times New Roman" w:cs="Times New Roman"/>
          <w:sz w:val="20"/>
          <w:szCs w:val="20"/>
        </w:rPr>
      </w:pPr>
    </w:p>
    <w:p w14:paraId="26B9D522" w14:textId="77777777" w:rsidR="00640082" w:rsidRDefault="00640082" w:rsidP="00A92063">
      <w:pPr>
        <w:spacing w:line="240" w:lineRule="auto"/>
        <w:ind w:firstLine="284"/>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Cross Tabulation of Themes and Depictions of AI in the News</w:t>
      </w:r>
    </w:p>
    <w:p w14:paraId="423250CB" w14:textId="77777777" w:rsidR="00640082" w:rsidRDefault="00640082">
      <w:pPr>
        <w:spacing w:line="240" w:lineRule="auto"/>
        <w:jc w:val="center"/>
        <w:rPr>
          <w:rFonts w:ascii="Times New Roman" w:eastAsia="Times New Roman" w:hAnsi="Times New Roman" w:cs="Times New Roman"/>
          <w:b/>
          <w:i/>
          <w:sz w:val="20"/>
          <w:szCs w:val="20"/>
        </w:rPr>
      </w:pPr>
      <w:r>
        <w:rPr>
          <w:b/>
          <w:bCs/>
          <w:i/>
          <w:iCs/>
          <w:noProof/>
          <w:color w:val="000000"/>
          <w:bdr w:val="none" w:sz="0" w:space="0" w:color="auto" w:frame="1"/>
        </w:rPr>
        <w:drawing>
          <wp:inline distT="0" distB="0" distL="0" distR="0" wp14:anchorId="6F643A0B" wp14:editId="7313AB62">
            <wp:extent cx="3789045" cy="2417445"/>
            <wp:effectExtent l="0" t="0" r="0" b="0"/>
            <wp:docPr id="184206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89045" cy="2417445"/>
                    </a:xfrm>
                    <a:prstGeom prst="rect">
                      <a:avLst/>
                    </a:prstGeom>
                    <a:noFill/>
                    <a:ln>
                      <a:noFill/>
                    </a:ln>
                  </pic:spPr>
                </pic:pic>
              </a:graphicData>
            </a:graphic>
          </wp:inline>
        </w:drawing>
      </w:r>
    </w:p>
    <w:p w14:paraId="1F52549D" w14:textId="77777777" w:rsidR="00640082" w:rsidRDefault="00640082" w:rsidP="00A92063">
      <w:pPr>
        <w:spacing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7. </w:t>
      </w:r>
      <w:r>
        <w:rPr>
          <w:rFonts w:ascii="Times New Roman" w:eastAsia="Times New Roman" w:hAnsi="Times New Roman" w:cs="Times New Roman"/>
          <w:sz w:val="20"/>
          <w:szCs w:val="20"/>
        </w:rPr>
        <w:t>Cross-tabulation of Themes and Depictions of AI in News Articles</w:t>
      </w:r>
    </w:p>
    <w:p w14:paraId="3484CED9" w14:textId="77777777" w:rsidR="00640082" w:rsidRPr="00A92063" w:rsidRDefault="00640082" w:rsidP="00A92063">
      <w:pPr>
        <w:spacing w:line="240" w:lineRule="auto"/>
        <w:ind w:left="284" w:firstLine="436"/>
        <w:rPr>
          <w:rFonts w:ascii="Times New Roman" w:eastAsia="Times New Roman" w:hAnsi="Times New Roman" w:cs="Times New Roman"/>
          <w:sz w:val="20"/>
          <w:szCs w:val="20"/>
          <w:lang w:val="en-ID"/>
        </w:rPr>
      </w:pPr>
      <w:r w:rsidRPr="00A92063">
        <w:rPr>
          <w:rFonts w:ascii="Times New Roman" w:eastAsia="Times New Roman" w:hAnsi="Times New Roman" w:cs="Times New Roman"/>
          <w:sz w:val="20"/>
          <w:szCs w:val="20"/>
          <w:lang w:val="en-ID"/>
        </w:rPr>
        <w:t>Figure 7 shows a cross-tabulation of AI narrative</w:t>
      </w:r>
      <w:r>
        <w:rPr>
          <w:rFonts w:ascii="Times New Roman" w:eastAsia="Times New Roman" w:hAnsi="Times New Roman" w:cs="Times New Roman"/>
          <w:sz w:val="20"/>
          <w:szCs w:val="20"/>
          <w:lang w:val="en-ID"/>
        </w:rPr>
        <w:t>s</w:t>
      </w:r>
      <w:r w:rsidRPr="00A92063">
        <w:rPr>
          <w:rFonts w:ascii="Times New Roman" w:eastAsia="Times New Roman" w:hAnsi="Times New Roman" w:cs="Times New Roman"/>
          <w:sz w:val="20"/>
          <w:szCs w:val="20"/>
          <w:lang w:val="en-ID"/>
        </w:rPr>
        <w:t xml:space="preserve"> and three main themes—psychological, criminal, and educational—to identify patterns of representation. The analysis indicates that AI as a trigger for problematic </w:t>
      </w:r>
      <w:proofErr w:type="spellStart"/>
      <w:r w:rsidRPr="00A92063">
        <w:rPr>
          <w:rFonts w:ascii="Times New Roman" w:eastAsia="Times New Roman" w:hAnsi="Times New Roman" w:cs="Times New Roman"/>
          <w:sz w:val="20"/>
          <w:szCs w:val="20"/>
          <w:lang w:val="en-ID"/>
        </w:rPr>
        <w:t>behavior</w:t>
      </w:r>
      <w:proofErr w:type="spellEnd"/>
      <w:r w:rsidRPr="00A92063">
        <w:rPr>
          <w:rFonts w:ascii="Times New Roman" w:eastAsia="Times New Roman" w:hAnsi="Times New Roman" w:cs="Times New Roman"/>
          <w:sz w:val="20"/>
          <w:szCs w:val="20"/>
          <w:lang w:val="en-ID"/>
        </w:rPr>
        <w:t xml:space="preserve"> in adolescents most frequently appears in the psychological theme, with a relevance score of 89.7%. This suggests that articles discussing this topic tend to emphasize the negative effects of AI on adolescents. In the criminal theme, AI as a danger to adolescents has a score of 83.3%, reflecting concerns about the negative impact of AI. Meanwhile, positive narratives about AI received the highest score in the educational theme, at 71.4%, indicating that positive stories about AI are often associated with its role in education.</w:t>
      </w:r>
    </w:p>
    <w:p w14:paraId="66001D11" w14:textId="77777777" w:rsidR="00640082" w:rsidRPr="00A92063" w:rsidRDefault="00640082" w:rsidP="00A92063">
      <w:pPr>
        <w:spacing w:line="240" w:lineRule="auto"/>
        <w:ind w:left="284" w:firstLine="436"/>
        <w:rPr>
          <w:rFonts w:ascii="Times New Roman" w:eastAsia="Times New Roman" w:hAnsi="Times New Roman" w:cs="Times New Roman"/>
          <w:sz w:val="20"/>
          <w:szCs w:val="20"/>
          <w:lang w:val="en-ID"/>
        </w:rPr>
      </w:pPr>
      <w:r w:rsidRPr="00A92063">
        <w:rPr>
          <w:rFonts w:ascii="Times New Roman" w:eastAsia="Times New Roman" w:hAnsi="Times New Roman" w:cs="Times New Roman"/>
          <w:sz w:val="20"/>
          <w:szCs w:val="20"/>
          <w:lang w:val="en-ID"/>
        </w:rPr>
        <w:t xml:space="preserve">These findings provide insights into how the media constructs narratives around AI and adolescents. The dominance of negative themes such as psychological risks and </w:t>
      </w:r>
      <w:proofErr w:type="spellStart"/>
      <w:r w:rsidRPr="00A92063">
        <w:rPr>
          <w:rFonts w:ascii="Times New Roman" w:eastAsia="Times New Roman" w:hAnsi="Times New Roman" w:cs="Times New Roman"/>
          <w:sz w:val="20"/>
          <w:szCs w:val="20"/>
          <w:lang w:val="en-ID"/>
        </w:rPr>
        <w:t>behaviors</w:t>
      </w:r>
      <w:proofErr w:type="spellEnd"/>
      <w:r w:rsidRPr="00A92063">
        <w:rPr>
          <w:rFonts w:ascii="Times New Roman" w:eastAsia="Times New Roman" w:hAnsi="Times New Roman" w:cs="Times New Roman"/>
          <w:sz w:val="20"/>
          <w:szCs w:val="20"/>
          <w:lang w:val="en-ID"/>
        </w:rPr>
        <w:t xml:space="preserve"> indicates societal fears about AI advancements, especially concerning vulnerable groups like adolescents. Media portrayals highlighting negative impacts, such as increased anxiety, depression, and technology dependence, reflect broader concerns about technological developments.</w:t>
      </w:r>
    </w:p>
    <w:p w14:paraId="2D6804E5" w14:textId="77777777" w:rsidR="00640082" w:rsidRPr="00A92063" w:rsidRDefault="00640082" w:rsidP="00A92063">
      <w:pPr>
        <w:spacing w:line="240" w:lineRule="auto"/>
        <w:ind w:left="284" w:firstLine="436"/>
        <w:rPr>
          <w:rFonts w:ascii="Times New Roman" w:eastAsia="Times New Roman" w:hAnsi="Times New Roman" w:cs="Times New Roman"/>
          <w:sz w:val="20"/>
          <w:szCs w:val="20"/>
          <w:lang w:val="en-ID"/>
        </w:rPr>
      </w:pPr>
      <w:r w:rsidRPr="00A92063">
        <w:rPr>
          <w:rFonts w:ascii="Times New Roman" w:eastAsia="Times New Roman" w:hAnsi="Times New Roman" w:cs="Times New Roman"/>
          <w:sz w:val="20"/>
          <w:szCs w:val="20"/>
          <w:lang w:val="en-ID"/>
        </w:rPr>
        <w:t>Furthermore, the focus on criminal contexts reveals concerns about AI misuse by adolescents who may not be mature enough to use technology responsibly. However, this analysis also identifies a small number of articles that highlight the positive role of AI, such as its potential to enhance education and foster creativity.</w:t>
      </w:r>
    </w:p>
    <w:p w14:paraId="0A90985E" w14:textId="77777777" w:rsidR="00640082" w:rsidRPr="00A92063" w:rsidRDefault="00640082" w:rsidP="00A92063">
      <w:pPr>
        <w:spacing w:line="240" w:lineRule="auto"/>
        <w:ind w:left="284" w:firstLine="436"/>
        <w:rPr>
          <w:rFonts w:ascii="Times New Roman" w:eastAsia="Times New Roman" w:hAnsi="Times New Roman" w:cs="Times New Roman"/>
          <w:sz w:val="20"/>
          <w:szCs w:val="20"/>
          <w:lang w:val="en-ID"/>
        </w:rPr>
      </w:pPr>
      <w:r w:rsidRPr="00A92063">
        <w:rPr>
          <w:rFonts w:ascii="Times New Roman" w:eastAsia="Times New Roman" w:hAnsi="Times New Roman" w:cs="Times New Roman"/>
          <w:sz w:val="20"/>
          <w:szCs w:val="20"/>
          <w:lang w:val="en-ID"/>
        </w:rPr>
        <w:t xml:space="preserve">To address the imbalance in media narratives, journalists and media outlets need to adopt a more balanced reporting approach. By incorporating diverse perspectives on the benefits and risks of AI, the media can provide a holistic understanding of this evolving technology. For example, highlighting successful cases where AI supports adolescent learning and development can encourage more constructive dialogue about AI's role in society. Additionally, responsible reporting should include practical guidelines for educators, parents, and policymakers to mitigate risks while maximizing the benefits of AI for adolescents. Such balanced narratives can help shape public perceptions and influence adolescent </w:t>
      </w:r>
      <w:proofErr w:type="spellStart"/>
      <w:r w:rsidRPr="00A92063">
        <w:rPr>
          <w:rFonts w:ascii="Times New Roman" w:eastAsia="Times New Roman" w:hAnsi="Times New Roman" w:cs="Times New Roman"/>
          <w:sz w:val="20"/>
          <w:szCs w:val="20"/>
          <w:lang w:val="en-ID"/>
        </w:rPr>
        <w:t>behavior</w:t>
      </w:r>
      <w:proofErr w:type="spellEnd"/>
      <w:r w:rsidRPr="00A92063">
        <w:rPr>
          <w:rFonts w:ascii="Times New Roman" w:eastAsia="Times New Roman" w:hAnsi="Times New Roman" w:cs="Times New Roman"/>
          <w:sz w:val="20"/>
          <w:szCs w:val="20"/>
          <w:lang w:val="en-ID"/>
        </w:rPr>
        <w:t xml:space="preserve"> toward AI, ultimately contributing to a more informed and nuanced societal discussion on this topic.</w:t>
      </w:r>
    </w:p>
    <w:p w14:paraId="6831F316" w14:textId="77777777" w:rsidR="00640082" w:rsidRDefault="00640082" w:rsidP="00640082">
      <w:pPr>
        <w:numPr>
          <w:ilvl w:val="0"/>
          <w:numId w:val="10"/>
        </w:numPr>
        <w:spacing w:before="240" w:after="240" w:line="240" w:lineRule="auto"/>
        <w:ind w:left="283" w:hanging="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5F4781E2" w14:textId="77777777" w:rsidR="00640082" w:rsidRDefault="00640082" w:rsidP="005C3DC2">
      <w:pPr>
        <w:spacing w:line="240" w:lineRule="auto"/>
        <w:ind w:left="284" w:firstLine="436"/>
        <w:rPr>
          <w:rFonts w:ascii="Times New Roman" w:eastAsia="Times New Roman" w:hAnsi="Times New Roman" w:cs="Times New Roman"/>
          <w:sz w:val="20"/>
          <w:szCs w:val="20"/>
        </w:rPr>
      </w:pPr>
      <w:r w:rsidRPr="005C3DC2">
        <w:rPr>
          <w:rFonts w:ascii="Times New Roman" w:eastAsia="Times New Roman" w:hAnsi="Times New Roman" w:cs="Times New Roman"/>
          <w:sz w:val="20"/>
          <w:szCs w:val="20"/>
        </w:rPr>
        <w:t>Overall, this study highlights the relationship between AI technology and teenagers as portrayed in the news. Based on the analysis, there is a tendency for the media to emphasize the negative impact of AI on teenagers. Most news reports focus on the adverse effects of AI usage among teenagers, while positive narratives, such as the benefits of AI for teenagers, are rarely discussed. This indicates a lack of attention to the positive potential that this technology offers.</w:t>
      </w:r>
    </w:p>
    <w:p w14:paraId="554EB4B6" w14:textId="77777777" w:rsidR="00640082" w:rsidRPr="005C3DC2" w:rsidRDefault="00640082" w:rsidP="005C3DC2">
      <w:pPr>
        <w:spacing w:line="240" w:lineRule="auto"/>
        <w:ind w:left="284" w:firstLine="436"/>
        <w:rPr>
          <w:rFonts w:ascii="Times New Roman" w:eastAsia="Times New Roman" w:hAnsi="Times New Roman" w:cs="Times New Roman"/>
          <w:sz w:val="20"/>
          <w:szCs w:val="20"/>
        </w:rPr>
      </w:pPr>
      <w:r w:rsidRPr="005C3DC2">
        <w:rPr>
          <w:rFonts w:ascii="Times New Roman" w:eastAsia="Times New Roman" w:hAnsi="Times New Roman" w:cs="Times New Roman"/>
          <w:sz w:val="20"/>
          <w:szCs w:val="20"/>
        </w:rPr>
        <w:t>The dominance of negative themes in the news shows that AI usage among teenagers often leads to social issues. This is supported by the results of the analysis of the first indicator, which is related to the dangers posed by AI to teenagers. Although not explicitly stated, more news stories perceive AI as a threat to teenagers' social and psychological well-being. This reflects the media's attention and societal concern about the dangers of AI to teenagers. The second indicator reinforces this statement by showing that media coverage tends to highlight the negative aspects of AI use by young people, often framing AI as a trigger for problematic behavior in teenagers. This finding underscores the media's greater focus on the negative consequences of AI compared to the positive ones.</w:t>
      </w:r>
    </w:p>
    <w:p w14:paraId="47777C63" w14:textId="77777777" w:rsidR="00640082" w:rsidRDefault="00640082" w:rsidP="005C3DC2">
      <w:pPr>
        <w:spacing w:line="240" w:lineRule="auto"/>
        <w:ind w:left="284" w:firstLine="436"/>
        <w:rPr>
          <w:rFonts w:ascii="Times New Roman" w:eastAsia="Times New Roman" w:hAnsi="Times New Roman" w:cs="Times New Roman"/>
          <w:sz w:val="20"/>
          <w:szCs w:val="20"/>
          <w:lang w:val="en-ID"/>
        </w:rPr>
      </w:pPr>
      <w:r w:rsidRPr="005C3DC2">
        <w:rPr>
          <w:rFonts w:ascii="Times New Roman" w:eastAsia="Times New Roman" w:hAnsi="Times New Roman" w:cs="Times New Roman"/>
          <w:sz w:val="20"/>
          <w:szCs w:val="20"/>
        </w:rPr>
        <w:t>The third indicator examines the content of news stories that discuss the use of AI by teenagers. The analysis reveals that only a small portion of the news stories addressed whether AI was being used covertly, while the majority did not include this narrative. This indicates that the media places greater emphasis on the outcomes of AI use rather than the processes or stages leading up to it. Furthermore, the media did not sufficiently highlight the importance of supervision in teenagers’ use of AI. The lack of media attention to this aspect suggests that it is often regarded as less significant, despite its considerable impact</w:t>
      </w:r>
    </w:p>
    <w:p w14:paraId="4DEBCCBD" w14:textId="77777777" w:rsidR="00640082" w:rsidRPr="005C3DC2" w:rsidRDefault="00640082" w:rsidP="005C3DC2">
      <w:pPr>
        <w:spacing w:line="240" w:lineRule="auto"/>
        <w:ind w:left="284"/>
        <w:rPr>
          <w:rFonts w:ascii="Times New Roman" w:eastAsia="Times New Roman" w:hAnsi="Times New Roman" w:cs="Times New Roman"/>
          <w:sz w:val="20"/>
          <w:szCs w:val="20"/>
          <w:lang w:val="en-ID"/>
        </w:rPr>
      </w:pPr>
      <w:r w:rsidRPr="005C3DC2">
        <w:rPr>
          <w:rFonts w:ascii="Times New Roman" w:eastAsia="Times New Roman" w:hAnsi="Times New Roman" w:cs="Times New Roman"/>
          <w:sz w:val="20"/>
          <w:szCs w:val="20"/>
          <w:lang w:val="en-ID"/>
        </w:rPr>
        <w:tab/>
      </w:r>
      <w:r w:rsidRPr="005C3DC2">
        <w:rPr>
          <w:rFonts w:ascii="Times New Roman" w:eastAsia="Times New Roman" w:hAnsi="Times New Roman" w:cs="Times New Roman"/>
          <w:sz w:val="20"/>
          <w:szCs w:val="20"/>
        </w:rPr>
        <w:t>On the other hand, neutral and positive portrayals of AI are minimal compared to its negative portrayals. Positive narratives regarding the use of AI in fields like education, innovation, and creativity development are rarely highlighted in the news. In fact, this technology holds significant potential to enhance teenagers’ skills in the digital era. Of the total 60 news articles analyzed, only 8 discussed the positive impact of AI, indicating that the media tends to emphasize the sensational aspects of AI-related risks for teenagers while paying less attention to its potential benefits. News coverage provides insufficient space to elaborate on the advantages that AI technology can offer. This reflects a disparity in media reporting between the potential benefits of AI and the risks associated with its use by teenagers. Such an imbalance can influence public perception, leading to AI being viewed primarily as a threat rather than as an opportunity that, with proper supervision and education, can be fully optimized.</w:t>
      </w:r>
    </w:p>
    <w:p w14:paraId="6A1A4247" w14:textId="77777777" w:rsidR="00640082" w:rsidRPr="005C3DC2" w:rsidRDefault="00640082" w:rsidP="005C3DC2">
      <w:pPr>
        <w:spacing w:line="240" w:lineRule="auto"/>
        <w:ind w:left="284" w:firstLine="436"/>
        <w:rPr>
          <w:rFonts w:ascii="Times New Roman" w:eastAsia="Times New Roman" w:hAnsi="Times New Roman" w:cs="Times New Roman"/>
          <w:sz w:val="20"/>
          <w:szCs w:val="20"/>
          <w:lang w:val="en-ID"/>
        </w:rPr>
      </w:pPr>
      <w:r w:rsidRPr="005C3DC2">
        <w:rPr>
          <w:rFonts w:ascii="Times New Roman" w:eastAsia="Times New Roman" w:hAnsi="Times New Roman" w:cs="Times New Roman"/>
          <w:sz w:val="20"/>
          <w:szCs w:val="20"/>
        </w:rPr>
        <w:t>This study highlights the necessity for the media to provide more balanced coverage regarding teenagers' use of AI. The media should present more information about the positive potential of AI technology, including its benefits in education, innovation, and fostering teenagers' creativity, while emphasizing the importance of proper supervision. By promoting balanced reporting, the media can contribute to shaping a more comprehensive societal understanding of AI, ensuring that it is perceived not only as a threat but also as a valuable opportunity to support teenagers' development.</w:t>
      </w:r>
    </w:p>
    <w:p w14:paraId="0C6D92E9" w14:textId="77777777" w:rsidR="00640082" w:rsidRPr="005C3DC2" w:rsidRDefault="00640082" w:rsidP="005C3DC2">
      <w:pPr>
        <w:spacing w:line="240" w:lineRule="auto"/>
        <w:ind w:left="284" w:firstLine="436"/>
        <w:rPr>
          <w:rFonts w:ascii="Times New Roman" w:eastAsia="Times New Roman" w:hAnsi="Times New Roman" w:cs="Times New Roman"/>
          <w:sz w:val="20"/>
          <w:szCs w:val="20"/>
          <w:lang w:val="en-ID"/>
        </w:rPr>
      </w:pPr>
      <w:r w:rsidRPr="004D0485">
        <w:rPr>
          <w:rFonts w:ascii="Times New Roman" w:eastAsia="Times New Roman" w:hAnsi="Times New Roman" w:cs="Times New Roman"/>
          <w:sz w:val="20"/>
          <w:szCs w:val="20"/>
        </w:rPr>
        <w:t>In addition, further research is required to explore more deeply the impact of media coverage on teenagers’ perceptions and behavior in using AI. Such follow-up research can provide better insight into how media narratives influence teenagers' decision-making in adopting and utilizing technology, as well as how more balanced reporting could improve both perceptions and the responsible use of AI among teenagers.</w:t>
      </w:r>
    </w:p>
    <w:p w14:paraId="62A9A472" w14:textId="77777777" w:rsidR="00640082" w:rsidRPr="005C3DC2" w:rsidRDefault="00640082" w:rsidP="00C947A5">
      <w:pPr>
        <w:spacing w:before="240" w:after="240" w:line="240" w:lineRule="auto"/>
        <w:ind w:lef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p w14:paraId="2116A546" w14:textId="77777777" w:rsidR="00640082" w:rsidRPr="004C0455" w:rsidRDefault="00640082" w:rsidP="004C0455">
      <w:pPr>
        <w:spacing w:line="240" w:lineRule="auto"/>
        <w:ind w:left="720" w:hanging="436"/>
        <w:rPr>
          <w:rFonts w:ascii="Times New Roman" w:hAnsi="Times New Roman" w:cs="Times New Roman"/>
          <w:sz w:val="20"/>
          <w:szCs w:val="20"/>
        </w:rPr>
      </w:pPr>
      <w:r w:rsidRPr="004C0455">
        <w:rPr>
          <w:rFonts w:ascii="Times New Roman" w:hAnsi="Times New Roman" w:cs="Times New Roman"/>
          <w:sz w:val="20"/>
          <w:szCs w:val="20"/>
        </w:rPr>
        <w:t xml:space="preserve">Ali, S., DiPaola, D., Lee, I., Sindato, V., Kim, G., Blumofe, R., &amp; Breazeal, C. (2021). Children as creators, thinkers and citizens in an AI-driven future. </w:t>
      </w:r>
      <w:r w:rsidRPr="004C0455">
        <w:rPr>
          <w:rFonts w:ascii="Times New Roman" w:hAnsi="Times New Roman" w:cs="Times New Roman"/>
          <w:i/>
          <w:iCs/>
          <w:sz w:val="20"/>
          <w:szCs w:val="20"/>
        </w:rPr>
        <w:t>Computers and Education: Artificial Intelligence</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2</w:t>
      </w:r>
      <w:r w:rsidRPr="004C0455">
        <w:rPr>
          <w:rFonts w:ascii="Times New Roman" w:hAnsi="Times New Roman" w:cs="Times New Roman"/>
          <w:sz w:val="20"/>
          <w:szCs w:val="20"/>
        </w:rPr>
        <w:t>, 100040.</w:t>
      </w:r>
      <w:r>
        <w:rPr>
          <w:rFonts w:ascii="Times New Roman" w:hAnsi="Times New Roman" w:cs="Times New Roman"/>
          <w:sz w:val="20"/>
          <w:szCs w:val="20"/>
        </w:rPr>
        <w:t xml:space="preserve"> </w:t>
      </w:r>
      <w:r w:rsidRPr="00ED72E0">
        <w:rPr>
          <w:rFonts w:ascii="Times New Roman" w:hAnsi="Times New Roman" w:cs="Times New Roman"/>
          <w:sz w:val="20"/>
          <w:szCs w:val="20"/>
        </w:rPr>
        <w:t>https://doi.org/10.1016/j.caeai.2021.100040</w:t>
      </w:r>
      <w:r>
        <w:rPr>
          <w:rFonts w:ascii="Times New Roman" w:hAnsi="Times New Roman" w:cs="Times New Roman"/>
          <w:sz w:val="20"/>
          <w:szCs w:val="20"/>
        </w:rPr>
        <w:t>.</w:t>
      </w:r>
    </w:p>
    <w:p w14:paraId="7CCF2B91" w14:textId="77777777" w:rsidR="00640082" w:rsidRPr="004C0455" w:rsidRDefault="00640082" w:rsidP="004C0455">
      <w:pPr>
        <w:spacing w:line="240" w:lineRule="auto"/>
        <w:ind w:left="709" w:hanging="436"/>
        <w:rPr>
          <w:rFonts w:ascii="Times New Roman" w:hAnsi="Times New Roman" w:cs="Times New Roman"/>
          <w:sz w:val="20"/>
          <w:szCs w:val="20"/>
        </w:rPr>
      </w:pPr>
      <w:r w:rsidRPr="004C0455">
        <w:rPr>
          <w:rFonts w:ascii="Times New Roman" w:hAnsi="Times New Roman" w:cs="Times New Roman"/>
          <w:sz w:val="20"/>
          <w:szCs w:val="20"/>
        </w:rPr>
        <w:t xml:space="preserve">Asnidar, Mansur, &amp; Palu, U. M. (2022). Peranan Dakwah dalam Media Teknologi dan Pengaruhnya di Masyarakat. </w:t>
      </w:r>
      <w:r w:rsidRPr="004C0455">
        <w:rPr>
          <w:rFonts w:ascii="Times New Roman" w:hAnsi="Times New Roman" w:cs="Times New Roman"/>
          <w:i/>
          <w:iCs/>
          <w:sz w:val="20"/>
          <w:szCs w:val="20"/>
        </w:rPr>
        <w:t>Jurnal Kolaboratif Sains</w:t>
      </w:r>
      <w:r w:rsidRPr="004C0455">
        <w:rPr>
          <w:rFonts w:ascii="Times New Roman" w:hAnsi="Times New Roman" w:cs="Times New Roman"/>
          <w:sz w:val="20"/>
          <w:szCs w:val="20"/>
        </w:rPr>
        <w:t>.</w:t>
      </w:r>
      <w:r w:rsidRPr="00ED72E0">
        <w:t xml:space="preserve"> </w:t>
      </w:r>
      <w:r w:rsidRPr="00ED72E0">
        <w:rPr>
          <w:rFonts w:ascii="Times New Roman" w:hAnsi="Times New Roman" w:cs="Times New Roman"/>
          <w:sz w:val="20"/>
          <w:szCs w:val="20"/>
        </w:rPr>
        <w:t>https://doi.org/10.56338/jks.v5i11.2976</w:t>
      </w:r>
      <w:r>
        <w:rPr>
          <w:rFonts w:ascii="Times New Roman" w:hAnsi="Times New Roman" w:cs="Times New Roman"/>
          <w:sz w:val="20"/>
          <w:szCs w:val="20"/>
        </w:rPr>
        <w:t>.</w:t>
      </w:r>
    </w:p>
    <w:p w14:paraId="32C76245" w14:textId="77777777" w:rsidR="00640082" w:rsidRPr="004C0455" w:rsidRDefault="00640082" w:rsidP="004C0455">
      <w:pPr>
        <w:spacing w:line="240" w:lineRule="auto"/>
        <w:ind w:left="720" w:hanging="436"/>
        <w:rPr>
          <w:rFonts w:ascii="Times New Roman" w:hAnsi="Times New Roman" w:cs="Times New Roman"/>
          <w:sz w:val="20"/>
          <w:szCs w:val="20"/>
        </w:rPr>
      </w:pPr>
      <w:r w:rsidRPr="004C0455">
        <w:rPr>
          <w:rFonts w:ascii="Times New Roman" w:hAnsi="Times New Roman" w:cs="Times New Roman"/>
          <w:sz w:val="20"/>
          <w:szCs w:val="20"/>
        </w:rPr>
        <w:t xml:space="preserve">Fadhillah, R., &amp; Lestari, B. D. (2024). Penggunaan AI Pada Mahasiswa Psikologi dalam Meningkatkan Kesehatan Mental. </w:t>
      </w:r>
      <w:r w:rsidRPr="004C0455">
        <w:rPr>
          <w:rFonts w:ascii="Times New Roman" w:hAnsi="Times New Roman" w:cs="Times New Roman"/>
          <w:i/>
          <w:iCs/>
          <w:sz w:val="20"/>
          <w:szCs w:val="20"/>
        </w:rPr>
        <w:t>Jurnal EMPATI</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13</w:t>
      </w:r>
      <w:r w:rsidRPr="004C0455">
        <w:rPr>
          <w:rFonts w:ascii="Times New Roman" w:hAnsi="Times New Roman" w:cs="Times New Roman"/>
          <w:sz w:val="20"/>
          <w:szCs w:val="20"/>
        </w:rPr>
        <w:t>(4), 280-290.</w:t>
      </w:r>
    </w:p>
    <w:p w14:paraId="2611D001" w14:textId="77777777" w:rsidR="00640082" w:rsidRPr="004C0455" w:rsidRDefault="00640082" w:rsidP="004C0455">
      <w:pPr>
        <w:spacing w:line="240" w:lineRule="auto"/>
        <w:ind w:left="720" w:hanging="436"/>
        <w:rPr>
          <w:rFonts w:ascii="Times New Roman" w:hAnsi="Times New Roman" w:cs="Times New Roman"/>
          <w:sz w:val="20"/>
          <w:szCs w:val="20"/>
        </w:rPr>
      </w:pPr>
      <w:r w:rsidRPr="004C0455">
        <w:rPr>
          <w:rFonts w:ascii="Times New Roman" w:hAnsi="Times New Roman" w:cs="Times New Roman"/>
          <w:sz w:val="20"/>
          <w:szCs w:val="20"/>
        </w:rPr>
        <w:t xml:space="preserve">Harun, F. A., &amp; Nurhadiyanto, L. (2024). Rekayasa Konten Pornografi Berbasis AI Image Generator dalam Perspektif Space Transition Theory. </w:t>
      </w:r>
      <w:r w:rsidRPr="004C0455">
        <w:rPr>
          <w:rFonts w:ascii="Times New Roman" w:hAnsi="Times New Roman" w:cs="Times New Roman"/>
          <w:i/>
          <w:iCs/>
          <w:sz w:val="20"/>
          <w:szCs w:val="20"/>
        </w:rPr>
        <w:t>Ranah Research: Journal of Multidisciplinary Research and Development</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6</w:t>
      </w:r>
      <w:r w:rsidRPr="004C0455">
        <w:rPr>
          <w:rFonts w:ascii="Times New Roman" w:hAnsi="Times New Roman" w:cs="Times New Roman"/>
          <w:sz w:val="20"/>
          <w:szCs w:val="20"/>
        </w:rPr>
        <w:t>(3), 408-418.</w:t>
      </w:r>
      <w:r w:rsidRPr="00ED72E0">
        <w:t xml:space="preserve"> </w:t>
      </w:r>
      <w:r w:rsidRPr="00ED72E0">
        <w:rPr>
          <w:rFonts w:ascii="Times New Roman" w:hAnsi="Times New Roman" w:cs="Times New Roman"/>
          <w:sz w:val="20"/>
          <w:szCs w:val="20"/>
        </w:rPr>
        <w:t>https://doi.org/10.38035/rrj.v6i3.826</w:t>
      </w:r>
      <w:r>
        <w:rPr>
          <w:rFonts w:ascii="Times New Roman" w:hAnsi="Times New Roman" w:cs="Times New Roman"/>
          <w:sz w:val="20"/>
          <w:szCs w:val="20"/>
        </w:rPr>
        <w:t>.</w:t>
      </w:r>
    </w:p>
    <w:p w14:paraId="14656F29" w14:textId="77777777" w:rsidR="00640082" w:rsidRPr="004C0455" w:rsidRDefault="00640082" w:rsidP="004C0455">
      <w:pPr>
        <w:spacing w:line="240" w:lineRule="auto"/>
        <w:ind w:left="720" w:hanging="436"/>
        <w:rPr>
          <w:rFonts w:ascii="Times New Roman" w:hAnsi="Times New Roman" w:cs="Times New Roman"/>
          <w:sz w:val="20"/>
          <w:szCs w:val="20"/>
        </w:rPr>
      </w:pPr>
      <w:r w:rsidRPr="004C0455">
        <w:rPr>
          <w:rFonts w:ascii="Times New Roman" w:hAnsi="Times New Roman" w:cs="Times New Roman"/>
          <w:sz w:val="20"/>
          <w:szCs w:val="20"/>
        </w:rPr>
        <w:t xml:space="preserve">Juwita, J., Saputri, E. Z., &amp; Kusmawati, I. (2021). Teknologi Augmented Reality (Ar) Sebagai Solusi Media Pembelajaran Sains Di Masa Adaptasi Kebiasaan Baru. </w:t>
      </w:r>
      <w:r w:rsidRPr="004C0455">
        <w:rPr>
          <w:rFonts w:ascii="Times New Roman" w:hAnsi="Times New Roman" w:cs="Times New Roman"/>
          <w:i/>
          <w:iCs/>
          <w:sz w:val="20"/>
          <w:szCs w:val="20"/>
        </w:rPr>
        <w:t>Bioeduca: Journal of Biology Education</w:t>
      </w:r>
      <w:r w:rsidRPr="004C0455">
        <w:rPr>
          <w:rFonts w:ascii="Times New Roman" w:hAnsi="Times New Roman" w:cs="Times New Roman"/>
          <w:sz w:val="20"/>
          <w:szCs w:val="20"/>
        </w:rPr>
        <w:t>.</w:t>
      </w:r>
      <w:r w:rsidRPr="00ED72E0">
        <w:t xml:space="preserve"> </w:t>
      </w:r>
      <w:r w:rsidRPr="00ED72E0">
        <w:rPr>
          <w:rFonts w:ascii="Times New Roman" w:hAnsi="Times New Roman" w:cs="Times New Roman"/>
          <w:sz w:val="20"/>
          <w:szCs w:val="20"/>
        </w:rPr>
        <w:t>https://doi.org/10.21580/bioeduca.v3i2.6636</w:t>
      </w:r>
      <w:r>
        <w:rPr>
          <w:rFonts w:ascii="Times New Roman" w:hAnsi="Times New Roman" w:cs="Times New Roman"/>
          <w:sz w:val="20"/>
          <w:szCs w:val="20"/>
        </w:rPr>
        <w:t>.</w:t>
      </w:r>
    </w:p>
    <w:p w14:paraId="12664599" w14:textId="77777777" w:rsidR="00640082" w:rsidRPr="00124A54" w:rsidRDefault="00640082" w:rsidP="004C0455">
      <w:pPr>
        <w:spacing w:line="240" w:lineRule="auto"/>
        <w:ind w:left="720" w:hanging="436"/>
        <w:rPr>
          <w:rFonts w:ascii="Times New Roman" w:hAnsi="Times New Roman" w:cs="Times New Roman"/>
          <w:b/>
          <w:bCs/>
          <w:sz w:val="20"/>
          <w:szCs w:val="20"/>
          <w:lang w:val="sv-SE"/>
        </w:rPr>
      </w:pPr>
      <w:r w:rsidRPr="004C0455">
        <w:rPr>
          <w:rFonts w:ascii="Times New Roman" w:hAnsi="Times New Roman" w:cs="Times New Roman"/>
          <w:sz w:val="20"/>
          <w:szCs w:val="20"/>
        </w:rPr>
        <w:t>Kharis, S. A. A., Zili, A. H. A., Putri, A., &amp; Robiansyah, A. (2023). Analisis Tren Minat Masyarakat Indonesia terhadap Artificial Intelligence dalam Menyongsong Society 5.0: Studi Menggunakan Google Trends. </w:t>
      </w:r>
      <w:r w:rsidRPr="004C0455">
        <w:rPr>
          <w:rFonts w:ascii="Times New Roman" w:hAnsi="Times New Roman" w:cs="Times New Roman"/>
          <w:i/>
          <w:iCs/>
          <w:sz w:val="20"/>
          <w:szCs w:val="20"/>
        </w:rPr>
        <w:t>G-Tech: Jurnal Teknologi Terapan</w:t>
      </w:r>
      <w:r w:rsidRPr="004C0455">
        <w:rPr>
          <w:rFonts w:ascii="Times New Roman" w:hAnsi="Times New Roman" w:cs="Times New Roman"/>
          <w:sz w:val="20"/>
          <w:szCs w:val="20"/>
        </w:rPr>
        <w:t>, </w:t>
      </w:r>
      <w:r w:rsidRPr="004C0455">
        <w:rPr>
          <w:rFonts w:ascii="Times New Roman" w:hAnsi="Times New Roman" w:cs="Times New Roman"/>
          <w:i/>
          <w:iCs/>
          <w:sz w:val="20"/>
          <w:szCs w:val="20"/>
        </w:rPr>
        <w:t>7</w:t>
      </w:r>
      <w:r w:rsidRPr="004C0455">
        <w:rPr>
          <w:rFonts w:ascii="Times New Roman" w:hAnsi="Times New Roman" w:cs="Times New Roman"/>
          <w:sz w:val="20"/>
          <w:szCs w:val="20"/>
        </w:rPr>
        <w:t>(4), 1345-1354.</w:t>
      </w:r>
      <w:r w:rsidRPr="00124A54">
        <w:rPr>
          <w:rFonts w:ascii="Calisto MT" w:hAnsi="Calisto MT" w:cs="Calisto MT"/>
          <w:color w:val="000000"/>
          <w:lang w:val="sv-SE"/>
        </w:rPr>
        <w:t xml:space="preserve"> </w:t>
      </w:r>
      <w:r w:rsidRPr="00124A54">
        <w:rPr>
          <w:rFonts w:ascii="Times New Roman" w:hAnsi="Times New Roman" w:cs="Times New Roman"/>
          <w:b/>
          <w:bCs/>
          <w:sz w:val="20"/>
          <w:szCs w:val="20"/>
          <w:lang w:val="sv-SE"/>
        </w:rPr>
        <w:t> </w:t>
      </w:r>
      <w:r>
        <w:fldChar w:fldCharType="begin"/>
      </w:r>
      <w:r>
        <w:instrText>HYPERLINK "https://doi.org/10.33379/gtech.v7i4.3091"</w:instrText>
      </w:r>
      <w:r>
        <w:fldChar w:fldCharType="separate"/>
      </w:r>
      <w:r w:rsidRPr="00124A54">
        <w:rPr>
          <w:rStyle w:val="Hyperlink"/>
          <w:rFonts w:cs="Times New Roman"/>
          <w:sz w:val="20"/>
          <w:szCs w:val="20"/>
          <w:lang w:val="sv-SE"/>
        </w:rPr>
        <w:t>https://doi.org/10.33379/gtech.v7i4.3091</w:t>
      </w:r>
      <w:r>
        <w:fldChar w:fldCharType="end"/>
      </w:r>
      <w:r w:rsidRPr="00124A54">
        <w:rPr>
          <w:rFonts w:ascii="Times New Roman" w:hAnsi="Times New Roman" w:cs="Times New Roman"/>
          <w:sz w:val="20"/>
          <w:szCs w:val="20"/>
          <w:lang w:val="sv-SE"/>
        </w:rPr>
        <w:t>.</w:t>
      </w:r>
    </w:p>
    <w:p w14:paraId="7888BFEB" w14:textId="77777777" w:rsidR="00640082" w:rsidRPr="004C0455" w:rsidRDefault="00640082" w:rsidP="004C0455">
      <w:pPr>
        <w:spacing w:line="240" w:lineRule="auto"/>
        <w:ind w:left="720" w:hanging="436"/>
        <w:rPr>
          <w:rFonts w:ascii="Times New Roman" w:hAnsi="Times New Roman" w:cs="Times New Roman"/>
          <w:sz w:val="20"/>
          <w:szCs w:val="20"/>
        </w:rPr>
      </w:pPr>
      <w:r w:rsidRPr="004C0455">
        <w:rPr>
          <w:rFonts w:ascii="Times New Roman" w:hAnsi="Times New Roman" w:cs="Times New Roman"/>
          <w:sz w:val="20"/>
          <w:szCs w:val="20"/>
        </w:rPr>
        <w:t xml:space="preserve">Komariah, N. S., Untari, D. T., &amp; Bukhari, E. (2020). Teknologi Komunikasi dan Perubahan Sosial Remaja di Indonesia; Sebuah Kajian Literatur Tentang Penggunaan Sosial Media. </w:t>
      </w:r>
      <w:r w:rsidRPr="004C0455">
        <w:rPr>
          <w:rFonts w:ascii="Times New Roman" w:hAnsi="Times New Roman" w:cs="Times New Roman"/>
          <w:i/>
          <w:iCs/>
          <w:sz w:val="20"/>
          <w:szCs w:val="20"/>
        </w:rPr>
        <w:t>Jurnal Kajian Ilmiah</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20</w:t>
      </w:r>
      <w:r w:rsidRPr="004C0455">
        <w:rPr>
          <w:rFonts w:ascii="Times New Roman" w:hAnsi="Times New Roman" w:cs="Times New Roman"/>
          <w:sz w:val="20"/>
          <w:szCs w:val="20"/>
        </w:rPr>
        <w:t>(2), 177-184.</w:t>
      </w:r>
      <w:r w:rsidRPr="00ED72E0">
        <w:t xml:space="preserve"> </w:t>
      </w:r>
      <w:r w:rsidRPr="00ED72E0">
        <w:rPr>
          <w:rFonts w:ascii="Times New Roman" w:hAnsi="Times New Roman" w:cs="Times New Roman"/>
          <w:sz w:val="20"/>
          <w:szCs w:val="20"/>
        </w:rPr>
        <w:t>https://doi.org/10.31599/jki.v20i2.129</w:t>
      </w:r>
      <w:r>
        <w:rPr>
          <w:rFonts w:ascii="Times New Roman" w:hAnsi="Times New Roman" w:cs="Times New Roman"/>
          <w:sz w:val="20"/>
          <w:szCs w:val="20"/>
        </w:rPr>
        <w:t>.</w:t>
      </w:r>
    </w:p>
    <w:p w14:paraId="31378332" w14:textId="77777777" w:rsidR="00640082" w:rsidRPr="004C0455" w:rsidRDefault="00640082" w:rsidP="004C0455">
      <w:pPr>
        <w:spacing w:line="240" w:lineRule="auto"/>
        <w:ind w:left="709" w:hanging="436"/>
        <w:rPr>
          <w:rFonts w:ascii="Times New Roman" w:hAnsi="Times New Roman" w:cs="Times New Roman"/>
          <w:sz w:val="20"/>
          <w:szCs w:val="20"/>
        </w:rPr>
      </w:pPr>
      <w:r w:rsidRPr="004C0455">
        <w:rPr>
          <w:rFonts w:ascii="Times New Roman" w:hAnsi="Times New Roman" w:cs="Times New Roman"/>
          <w:sz w:val="20"/>
          <w:szCs w:val="20"/>
        </w:rPr>
        <w:t>Muarifin, Z. (2024). Lunturnya Moralitas Pendidikan di Era Artificial Intelligence.</w:t>
      </w:r>
      <w:r w:rsidRPr="004C0455">
        <w:rPr>
          <w:rFonts w:ascii="Times New Roman" w:hAnsi="Times New Roman" w:cs="Times New Roman"/>
          <w:i/>
          <w:iCs/>
          <w:sz w:val="20"/>
          <w:szCs w:val="20"/>
        </w:rPr>
        <w:t xml:space="preserve"> Journal Creativity</w:t>
      </w:r>
      <w:r w:rsidRPr="004C0455">
        <w:rPr>
          <w:rFonts w:ascii="Times New Roman" w:hAnsi="Times New Roman" w:cs="Times New Roman"/>
          <w:sz w:val="20"/>
          <w:szCs w:val="20"/>
        </w:rPr>
        <w:t>, </w:t>
      </w:r>
      <w:r w:rsidRPr="004C0455">
        <w:rPr>
          <w:rFonts w:ascii="Times New Roman" w:hAnsi="Times New Roman" w:cs="Times New Roman"/>
          <w:i/>
          <w:iCs/>
          <w:sz w:val="20"/>
          <w:szCs w:val="20"/>
        </w:rPr>
        <w:t>2</w:t>
      </w:r>
      <w:r w:rsidRPr="004C0455">
        <w:rPr>
          <w:rFonts w:ascii="Times New Roman" w:hAnsi="Times New Roman" w:cs="Times New Roman"/>
          <w:sz w:val="20"/>
          <w:szCs w:val="20"/>
        </w:rPr>
        <w:t>(2), 221-234.</w:t>
      </w:r>
      <w:r>
        <w:rPr>
          <w:rFonts w:ascii="Times New Roman" w:hAnsi="Times New Roman" w:cs="Times New Roman"/>
          <w:sz w:val="20"/>
          <w:szCs w:val="20"/>
        </w:rPr>
        <w:t xml:space="preserve"> </w:t>
      </w:r>
      <w:r w:rsidRPr="004C0455">
        <w:rPr>
          <w:rFonts w:ascii="Times New Roman" w:hAnsi="Times New Roman" w:cs="Times New Roman"/>
          <w:b/>
          <w:bCs/>
          <w:sz w:val="20"/>
          <w:szCs w:val="20"/>
        </w:rPr>
        <w:t> </w:t>
      </w:r>
      <w:r>
        <w:fldChar w:fldCharType="begin"/>
      </w:r>
      <w:r>
        <w:instrText>HYPERLINK "https://doi.org/10.62288/creativity.v2i2.25"</w:instrText>
      </w:r>
      <w:r>
        <w:fldChar w:fldCharType="separate"/>
      </w:r>
      <w:r w:rsidRPr="004C0455">
        <w:rPr>
          <w:rStyle w:val="Hyperlink"/>
          <w:rFonts w:cs="Times New Roman"/>
          <w:sz w:val="20"/>
          <w:szCs w:val="20"/>
        </w:rPr>
        <w:t>https://doi.org/10.62288/creativity.v2i2.25</w:t>
      </w:r>
      <w:r>
        <w:fldChar w:fldCharType="end"/>
      </w:r>
      <w:r>
        <w:rPr>
          <w:rFonts w:ascii="Times New Roman" w:hAnsi="Times New Roman" w:cs="Times New Roman"/>
          <w:sz w:val="20"/>
          <w:szCs w:val="20"/>
        </w:rPr>
        <w:t>.</w:t>
      </w:r>
    </w:p>
    <w:p w14:paraId="39B0F380" w14:textId="77777777" w:rsidR="00640082" w:rsidRPr="004C0455" w:rsidRDefault="00640082" w:rsidP="004C0455">
      <w:pPr>
        <w:spacing w:line="240" w:lineRule="auto"/>
        <w:ind w:left="709" w:hanging="436"/>
        <w:rPr>
          <w:rFonts w:ascii="Times New Roman" w:hAnsi="Times New Roman" w:cs="Times New Roman"/>
          <w:sz w:val="20"/>
          <w:szCs w:val="20"/>
        </w:rPr>
      </w:pPr>
      <w:r w:rsidRPr="004C0455">
        <w:rPr>
          <w:rFonts w:ascii="Times New Roman" w:hAnsi="Times New Roman" w:cs="Times New Roman"/>
          <w:sz w:val="20"/>
          <w:szCs w:val="20"/>
        </w:rPr>
        <w:t xml:space="preserve">Putra, Guntur Permana. (2024). Law enforcement against deepfake porn AI: Penegakan hukum terhadap deepfake porn AI. Universitas Muhammadiyah Sidoarjo. Retrieved from </w:t>
      </w:r>
      <w:hyperlink r:id="rId61" w:history="1">
        <w:r w:rsidRPr="004C0455">
          <w:rPr>
            <w:rStyle w:val="Hyperlink"/>
            <w:rFonts w:cs="Times New Roman"/>
            <w:sz w:val="20"/>
            <w:szCs w:val="20"/>
          </w:rPr>
          <w:t>https://archive.umsida.ac.id/index.php/archive/preprint/view/4378</w:t>
        </w:r>
      </w:hyperlink>
      <w:r w:rsidRPr="004C0455">
        <w:rPr>
          <w:rFonts w:ascii="Times New Roman" w:hAnsi="Times New Roman" w:cs="Times New Roman"/>
          <w:sz w:val="20"/>
          <w:szCs w:val="20"/>
        </w:rPr>
        <w:t xml:space="preserve">. </w:t>
      </w:r>
    </w:p>
    <w:p w14:paraId="547A4346" w14:textId="77777777" w:rsidR="00640082" w:rsidRDefault="00640082" w:rsidP="004C0455">
      <w:pPr>
        <w:spacing w:line="240" w:lineRule="auto"/>
        <w:ind w:left="709" w:hanging="436"/>
        <w:rPr>
          <w:rFonts w:ascii="Times New Roman" w:hAnsi="Times New Roman" w:cs="Times New Roman"/>
          <w:sz w:val="20"/>
          <w:szCs w:val="20"/>
        </w:rPr>
      </w:pPr>
      <w:r w:rsidRPr="004C0455">
        <w:rPr>
          <w:rFonts w:ascii="Times New Roman" w:hAnsi="Times New Roman" w:cs="Times New Roman"/>
          <w:sz w:val="20"/>
          <w:szCs w:val="20"/>
        </w:rPr>
        <w:t xml:space="preserve">Rachmadana, S. L., Putra, S. A. A., &amp; Difinubun, Y. (2022). Dampak Artificial Intelligence Terhadap Perekonomian. </w:t>
      </w:r>
      <w:r w:rsidRPr="004C0455">
        <w:rPr>
          <w:rFonts w:ascii="Times New Roman" w:hAnsi="Times New Roman" w:cs="Times New Roman"/>
          <w:i/>
          <w:iCs/>
          <w:sz w:val="20"/>
          <w:szCs w:val="20"/>
        </w:rPr>
        <w:t>FAIR UNIMUDA</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2</w:t>
      </w:r>
      <w:r w:rsidRPr="004C0455">
        <w:rPr>
          <w:rFonts w:ascii="Times New Roman" w:hAnsi="Times New Roman" w:cs="Times New Roman"/>
          <w:sz w:val="20"/>
          <w:szCs w:val="20"/>
        </w:rPr>
        <w:t>, 71-82.</w:t>
      </w:r>
      <w:r w:rsidRPr="00ED72E0">
        <w:t xml:space="preserve"> </w:t>
      </w:r>
      <w:r>
        <w:fldChar w:fldCharType="begin"/>
      </w:r>
      <w:r>
        <w:instrText>HYPERLINK "https://doi.org/10.36232/jurnalfairakuntansiunimuda.v2i2.3837"</w:instrText>
      </w:r>
      <w:r>
        <w:fldChar w:fldCharType="separate"/>
      </w:r>
      <w:r w:rsidRPr="0055718C">
        <w:rPr>
          <w:rStyle w:val="Hyperlink"/>
          <w:rFonts w:cs="Times New Roman"/>
          <w:sz w:val="20"/>
          <w:szCs w:val="20"/>
        </w:rPr>
        <w:t>https://doi.org/10.36232/jurnalfairakuntansiunimuda.v2i2.3837</w:t>
      </w:r>
      <w:r>
        <w:fldChar w:fldCharType="end"/>
      </w:r>
      <w:r w:rsidRPr="0055718C">
        <w:rPr>
          <w:rFonts w:ascii="Times New Roman" w:hAnsi="Times New Roman" w:cs="Times New Roman"/>
          <w:sz w:val="20"/>
          <w:szCs w:val="20"/>
        </w:rPr>
        <w:t>.</w:t>
      </w:r>
    </w:p>
    <w:p w14:paraId="7173C319" w14:textId="77777777" w:rsidR="00640082" w:rsidRPr="004C0455" w:rsidRDefault="00640082" w:rsidP="004C0455">
      <w:pPr>
        <w:spacing w:line="240" w:lineRule="auto"/>
        <w:ind w:left="709" w:hanging="436"/>
        <w:rPr>
          <w:rFonts w:ascii="Times New Roman" w:hAnsi="Times New Roman" w:cs="Times New Roman"/>
          <w:sz w:val="20"/>
          <w:szCs w:val="20"/>
        </w:rPr>
      </w:pPr>
      <w:r w:rsidRPr="0055718C">
        <w:rPr>
          <w:rFonts w:ascii="Times New Roman" w:hAnsi="Times New Roman" w:cs="Times New Roman"/>
          <w:sz w:val="20"/>
          <w:szCs w:val="20"/>
        </w:rPr>
        <w:t xml:space="preserve">United Nations Educational, Scientific and Cultural Organization. (2021). </w:t>
      </w:r>
      <w:r w:rsidRPr="0055718C">
        <w:rPr>
          <w:rFonts w:ascii="Times New Roman" w:hAnsi="Times New Roman" w:cs="Times New Roman"/>
          <w:i/>
          <w:iCs/>
          <w:sz w:val="20"/>
          <w:szCs w:val="20"/>
        </w:rPr>
        <w:t>Recommendation on the Ethics of Artificial Intelligence</w:t>
      </w:r>
      <w:r w:rsidRPr="0055718C">
        <w:rPr>
          <w:rFonts w:ascii="Times New Roman" w:hAnsi="Times New Roman" w:cs="Times New Roman"/>
          <w:sz w:val="20"/>
          <w:szCs w:val="20"/>
        </w:rPr>
        <w:t>. UNESCO.</w:t>
      </w:r>
      <w:r>
        <w:rPr>
          <w:rFonts w:ascii="Times New Roman" w:hAnsi="Times New Roman" w:cs="Times New Roman"/>
          <w:sz w:val="20"/>
          <w:szCs w:val="20"/>
        </w:rPr>
        <w:t xml:space="preserve"> </w:t>
      </w:r>
      <w:r w:rsidRPr="0055718C">
        <w:rPr>
          <w:rFonts w:ascii="Times New Roman" w:hAnsi="Times New Roman" w:cs="Times New Roman"/>
          <w:sz w:val="20"/>
          <w:szCs w:val="20"/>
        </w:rPr>
        <w:t>https://unes.co/m1npsg</w:t>
      </w:r>
      <w:r>
        <w:rPr>
          <w:rFonts w:ascii="Times New Roman" w:hAnsi="Times New Roman" w:cs="Times New Roman"/>
          <w:sz w:val="20"/>
          <w:szCs w:val="20"/>
        </w:rPr>
        <w:t>.</w:t>
      </w:r>
    </w:p>
    <w:p w14:paraId="01107ACA" w14:textId="77777777" w:rsidR="00640082" w:rsidRPr="004C0455" w:rsidRDefault="00640082" w:rsidP="004C0455">
      <w:pPr>
        <w:spacing w:line="240" w:lineRule="auto"/>
        <w:ind w:left="709" w:hanging="436"/>
        <w:rPr>
          <w:rFonts w:ascii="Times New Roman" w:hAnsi="Times New Roman" w:cs="Times New Roman"/>
          <w:sz w:val="20"/>
          <w:szCs w:val="20"/>
        </w:rPr>
      </w:pPr>
      <w:r w:rsidRPr="004C0455">
        <w:rPr>
          <w:rFonts w:ascii="Times New Roman" w:hAnsi="Times New Roman" w:cs="Times New Roman"/>
          <w:sz w:val="20"/>
          <w:szCs w:val="20"/>
        </w:rPr>
        <w:t xml:space="preserve">Utoyo, A. W., &amp; Putranto, A. (2022). Praktik Jurnalisme Robot Sebagai Akhir Profesi Jurnalis. </w:t>
      </w:r>
      <w:r w:rsidRPr="004C0455">
        <w:rPr>
          <w:rFonts w:ascii="Times New Roman" w:hAnsi="Times New Roman" w:cs="Times New Roman"/>
          <w:i/>
          <w:iCs/>
          <w:sz w:val="20"/>
          <w:szCs w:val="20"/>
        </w:rPr>
        <w:t>Jurnal Mahardika Adiwidia</w:t>
      </w:r>
      <w:r w:rsidRPr="004C0455">
        <w:rPr>
          <w:rFonts w:ascii="Times New Roman" w:hAnsi="Times New Roman" w:cs="Times New Roman"/>
          <w:sz w:val="20"/>
          <w:szCs w:val="20"/>
        </w:rPr>
        <w:t xml:space="preserve">, </w:t>
      </w:r>
      <w:r w:rsidRPr="004C0455">
        <w:rPr>
          <w:rFonts w:ascii="Times New Roman" w:hAnsi="Times New Roman" w:cs="Times New Roman"/>
          <w:i/>
          <w:iCs/>
          <w:sz w:val="20"/>
          <w:szCs w:val="20"/>
        </w:rPr>
        <w:t>1</w:t>
      </w:r>
      <w:r w:rsidRPr="004C0455">
        <w:rPr>
          <w:rFonts w:ascii="Times New Roman" w:hAnsi="Times New Roman" w:cs="Times New Roman"/>
          <w:sz w:val="20"/>
          <w:szCs w:val="20"/>
        </w:rPr>
        <w:t>(2), 86-99.</w:t>
      </w:r>
      <w:r w:rsidRPr="00ED72E0">
        <w:t xml:space="preserve"> </w:t>
      </w:r>
      <w:r w:rsidRPr="00ED72E0">
        <w:rPr>
          <w:rFonts w:ascii="Times New Roman" w:hAnsi="Times New Roman" w:cs="Times New Roman"/>
          <w:sz w:val="20"/>
          <w:szCs w:val="20"/>
        </w:rPr>
        <w:t>https://doi.org/10.36441/mahardikaadiwidi.v1i2.1078</w:t>
      </w:r>
      <w:r>
        <w:rPr>
          <w:rFonts w:ascii="Times New Roman" w:hAnsi="Times New Roman" w:cs="Times New Roman"/>
          <w:sz w:val="20"/>
          <w:szCs w:val="20"/>
        </w:rPr>
        <w:t>.</w:t>
      </w:r>
    </w:p>
    <w:p w14:paraId="70434FA7" w14:textId="77777777" w:rsidR="00640082" w:rsidRPr="004C0455" w:rsidRDefault="00640082" w:rsidP="004C0455">
      <w:pPr>
        <w:ind w:left="720" w:hanging="436"/>
        <w:rPr>
          <w:rFonts w:ascii="Times New Roman" w:eastAsia="Times New Roman" w:hAnsi="Times New Roman" w:cs="Times New Roman"/>
          <w:color w:val="222222"/>
          <w:sz w:val="20"/>
          <w:szCs w:val="20"/>
        </w:rPr>
      </w:pPr>
      <w:r w:rsidRPr="004C0455">
        <w:rPr>
          <w:rFonts w:ascii="Times New Roman" w:hAnsi="Times New Roman" w:cs="Times New Roman"/>
          <w:sz w:val="20"/>
          <w:szCs w:val="20"/>
        </w:rPr>
        <w:t xml:space="preserve">World Health Organization. (1965). </w:t>
      </w:r>
      <w:r w:rsidRPr="004C0455">
        <w:rPr>
          <w:rFonts w:ascii="Times New Roman" w:hAnsi="Times New Roman" w:cs="Times New Roman"/>
          <w:i/>
          <w:iCs/>
          <w:sz w:val="20"/>
          <w:szCs w:val="20"/>
        </w:rPr>
        <w:t>Health problems of adolescence: Report of a WHO Expert Committee (meeting held in Geneva from 3 to 9 November 1964)</w:t>
      </w:r>
      <w:r w:rsidRPr="004C0455">
        <w:rPr>
          <w:rFonts w:ascii="Times New Roman" w:hAnsi="Times New Roman" w:cs="Times New Roman"/>
          <w:sz w:val="20"/>
          <w:szCs w:val="20"/>
        </w:rPr>
        <w:t xml:space="preserve">. World </w:t>
      </w:r>
      <w:proofErr w:type="spellStart"/>
      <w:r w:rsidRPr="004C0455">
        <w:rPr>
          <w:rFonts w:ascii="Times New Roman" w:hAnsi="Times New Roman" w:cs="Times New Roman"/>
          <w:sz w:val="20"/>
          <w:szCs w:val="20"/>
        </w:rPr>
        <w:t>Health</w:t>
      </w:r>
      <w:proofErr w:type="spellEnd"/>
      <w:r w:rsidRPr="004C0455">
        <w:rPr>
          <w:rFonts w:ascii="Times New Roman" w:hAnsi="Times New Roman" w:cs="Times New Roman"/>
          <w:sz w:val="20"/>
          <w:szCs w:val="20"/>
        </w:rPr>
        <w:t xml:space="preserve"> </w:t>
      </w:r>
      <w:proofErr w:type="spellStart"/>
      <w:r w:rsidRPr="004C0455">
        <w:rPr>
          <w:rFonts w:ascii="Times New Roman" w:hAnsi="Times New Roman" w:cs="Times New Roman"/>
          <w:sz w:val="20"/>
          <w:szCs w:val="20"/>
        </w:rPr>
        <w:t>Organization</w:t>
      </w:r>
      <w:proofErr w:type="spellEnd"/>
      <w:r w:rsidRPr="004C0455">
        <w:rPr>
          <w:rFonts w:ascii="Times New Roman" w:hAnsi="Times New Roman" w:cs="Times New Roman"/>
          <w:sz w:val="20"/>
          <w:szCs w:val="20"/>
        </w:rPr>
        <w:t>.</w:t>
      </w:r>
      <w:hyperlink r:id="rId62" w:history="1">
        <w:r w:rsidRPr="004C0455">
          <w:rPr>
            <w:rStyle w:val="Hyperlink"/>
            <w:rFonts w:cs="Times New Roman"/>
            <w:sz w:val="20"/>
            <w:szCs w:val="20"/>
          </w:rPr>
          <w:t xml:space="preserve"> https://iris.who.int/handle/10665/38425</w:t>
        </w:r>
      </w:hyperlink>
      <w:r w:rsidRPr="004C0455">
        <w:rPr>
          <w:rFonts w:ascii="Times New Roman" w:hAnsi="Times New Roman" w:cs="Times New Roman"/>
          <w:sz w:val="20"/>
          <w:szCs w:val="20"/>
        </w:rPr>
        <w:t>.</w:t>
      </w:r>
    </w:p>
    <w:p w14:paraId="6153A351" w14:textId="77777777" w:rsidR="00640082" w:rsidRDefault="00640082">
      <w:pPr>
        <w:spacing w:line="240" w:lineRule="auto"/>
        <w:ind w:left="720"/>
        <w:rPr>
          <w:rFonts w:ascii="Times New Roman" w:eastAsia="Times New Roman" w:hAnsi="Times New Roman" w:cs="Times New Roman"/>
          <w:b/>
          <w:sz w:val="24"/>
          <w:szCs w:val="24"/>
        </w:rPr>
      </w:pPr>
    </w:p>
    <w:p w14:paraId="440F907A" w14:textId="6491D1E7" w:rsidR="008E37C0" w:rsidRDefault="008E37C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42BE31C5" w14:textId="77777777" w:rsidR="00640082" w:rsidRPr="00C7737B" w:rsidRDefault="00640082" w:rsidP="008E37C0">
      <w:pPr>
        <w:pStyle w:val="Heading1"/>
        <w:rPr>
          <w:lang w:val="en-US"/>
        </w:rPr>
      </w:pPr>
      <w:bookmarkStart w:id="23" w:name="_Toc197537603"/>
      <w:r w:rsidRPr="00C7737B">
        <w:rPr>
          <w:lang w:val="en-US"/>
        </w:rPr>
        <w:t>AI in Political Communication: The Strategic Role of Artificial Intelligence in China’s Authoritarian Governance</w:t>
      </w:r>
      <w:bookmarkEnd w:id="23"/>
    </w:p>
    <w:p w14:paraId="158836D3" w14:textId="77777777" w:rsidR="00640082" w:rsidRPr="0037145C" w:rsidRDefault="00640082" w:rsidP="009A4688">
      <w:pPr>
        <w:jc w:val="center"/>
        <w:rPr>
          <w:rFonts w:ascii="Times New Roman" w:hAnsi="Times New Roman" w:cs="Times New Roman"/>
          <w:b/>
          <w:bCs/>
          <w:sz w:val="24"/>
          <w:szCs w:val="24"/>
          <w:lang w:val="en-US"/>
        </w:rPr>
      </w:pPr>
    </w:p>
    <w:p w14:paraId="25ABF17B" w14:textId="77777777" w:rsidR="00640082" w:rsidRPr="006701AC" w:rsidRDefault="00640082" w:rsidP="008E37C0">
      <w:pPr>
        <w:pStyle w:val="Heading2"/>
        <w:rPr>
          <w:vertAlign w:val="superscript"/>
          <w:lang w:val="en-US"/>
        </w:rPr>
      </w:pPr>
      <w:bookmarkStart w:id="24" w:name="_Toc197537604"/>
      <w:r w:rsidRPr="006701AC">
        <w:rPr>
          <w:lang w:val="en-US"/>
        </w:rPr>
        <w:t>Muhammad Danu Raihan Ramadan</w:t>
      </w:r>
      <w:r w:rsidRPr="006701AC">
        <w:rPr>
          <w:vertAlign w:val="superscript"/>
          <w:lang w:val="en-US"/>
        </w:rPr>
        <w:t>1</w:t>
      </w:r>
      <w:r w:rsidRPr="006701AC">
        <w:rPr>
          <w:lang w:val="en-US"/>
        </w:rPr>
        <w:t xml:space="preserve">, </w:t>
      </w:r>
      <w:proofErr w:type="spellStart"/>
      <w:r w:rsidRPr="006701AC">
        <w:rPr>
          <w:lang w:val="en-US"/>
        </w:rPr>
        <w:t>Insyira</w:t>
      </w:r>
      <w:proofErr w:type="spellEnd"/>
      <w:r w:rsidRPr="006701AC">
        <w:rPr>
          <w:lang w:val="en-US"/>
        </w:rPr>
        <w:t xml:space="preserve"> Putri</w:t>
      </w:r>
      <w:r w:rsidRPr="006701AC">
        <w:rPr>
          <w:vertAlign w:val="superscript"/>
          <w:lang w:val="en-US"/>
        </w:rPr>
        <w:t>2</w:t>
      </w:r>
      <w:r w:rsidRPr="006701AC">
        <w:rPr>
          <w:lang w:val="en-US"/>
        </w:rPr>
        <w:t>, Nur Liyani</w:t>
      </w:r>
      <w:r w:rsidRPr="006701AC">
        <w:rPr>
          <w:vertAlign w:val="superscript"/>
          <w:lang w:val="en-US"/>
        </w:rPr>
        <w:t>3</w:t>
      </w:r>
      <w:r w:rsidRPr="006701AC">
        <w:rPr>
          <w:lang w:val="en-US"/>
        </w:rPr>
        <w:t>, Ni Luh Putu Setya Dewi</w:t>
      </w:r>
      <w:r w:rsidRPr="006701AC">
        <w:rPr>
          <w:vertAlign w:val="superscript"/>
          <w:lang w:val="en-US"/>
        </w:rPr>
        <w:t>4</w:t>
      </w:r>
      <w:r w:rsidRPr="006701AC">
        <w:rPr>
          <w:lang w:val="en-US"/>
        </w:rPr>
        <w:t>, Clarence Valerie Shane Tumbel</w:t>
      </w:r>
      <w:r w:rsidRPr="006701AC">
        <w:rPr>
          <w:vertAlign w:val="superscript"/>
          <w:lang w:val="en-US"/>
        </w:rPr>
        <w:t>5</w:t>
      </w:r>
      <w:r w:rsidRPr="006701AC">
        <w:rPr>
          <w:lang w:val="en-US"/>
        </w:rPr>
        <w:t>, Alfin Wong</w:t>
      </w:r>
      <w:r w:rsidRPr="006701AC">
        <w:rPr>
          <w:vertAlign w:val="superscript"/>
          <w:lang w:val="en-US"/>
        </w:rPr>
        <w:t xml:space="preserve">6, </w:t>
      </w:r>
      <w:r w:rsidRPr="006701AC">
        <w:rPr>
          <w:lang w:val="en-US"/>
        </w:rPr>
        <w:t>Rina Juwita</w:t>
      </w:r>
      <w:r w:rsidRPr="006701AC">
        <w:rPr>
          <w:vertAlign w:val="superscript"/>
          <w:lang w:val="en-US"/>
        </w:rPr>
        <w:t>7</w:t>
      </w:r>
      <w:bookmarkEnd w:id="24"/>
    </w:p>
    <w:p w14:paraId="505BB155"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1</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cal Science,</w:t>
      </w:r>
      <w:r>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68AEE5D0"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3" w:history="1">
        <w:r w:rsidRPr="0037145C">
          <w:rPr>
            <w:rStyle w:val="Hyperlink"/>
            <w:rFonts w:ascii="Times New Roman" w:hAnsi="Times New Roman" w:cs="Times New Roman"/>
          </w:rPr>
          <w:t>rezkoreyzor@gmail.com</w:t>
        </w:r>
      </w:hyperlink>
      <w:r w:rsidRPr="0037145C">
        <w:rPr>
          <w:rFonts w:ascii="Times New Roman" w:hAnsi="Times New Roman" w:cs="Times New Roman"/>
          <w:sz w:val="24"/>
          <w:szCs w:val="24"/>
          <w:lang w:val="en-US"/>
        </w:rPr>
        <w:t xml:space="preserve"> </w:t>
      </w:r>
    </w:p>
    <w:p w14:paraId="18B357E6"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2</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333FC548"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4" w:history="1">
        <w:r w:rsidRPr="0037145C">
          <w:rPr>
            <w:rStyle w:val="Hyperlink"/>
            <w:rFonts w:ascii="Times New Roman" w:hAnsi="Times New Roman" w:cs="Times New Roman"/>
          </w:rPr>
          <w:t>syirashfr@gmail.com</w:t>
        </w:r>
      </w:hyperlink>
      <w:r w:rsidRPr="0037145C">
        <w:rPr>
          <w:rFonts w:ascii="Times New Roman" w:hAnsi="Times New Roman" w:cs="Times New Roman"/>
          <w:sz w:val="24"/>
          <w:szCs w:val="24"/>
          <w:lang w:val="en-US"/>
        </w:rPr>
        <w:t xml:space="preserve"> </w:t>
      </w:r>
    </w:p>
    <w:p w14:paraId="308033DF"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3</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4152CE40"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5" w:history="1">
        <w:r w:rsidRPr="0037145C">
          <w:rPr>
            <w:rStyle w:val="Hyperlink"/>
            <w:rFonts w:ascii="Times New Roman" w:hAnsi="Times New Roman" w:cs="Times New Roman"/>
          </w:rPr>
          <w:t>nurliyani5905@gmail.com</w:t>
        </w:r>
      </w:hyperlink>
      <w:r w:rsidRPr="0037145C">
        <w:rPr>
          <w:rFonts w:ascii="Times New Roman" w:hAnsi="Times New Roman" w:cs="Times New Roman"/>
          <w:sz w:val="24"/>
          <w:szCs w:val="24"/>
          <w:lang w:val="en-US"/>
        </w:rPr>
        <w:t xml:space="preserve"> </w:t>
      </w:r>
    </w:p>
    <w:p w14:paraId="20BF37BB"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4</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62C9C98A"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6" w:history="1">
        <w:r w:rsidRPr="0037145C">
          <w:rPr>
            <w:rStyle w:val="Hyperlink"/>
            <w:rFonts w:ascii="Times New Roman" w:hAnsi="Times New Roman" w:cs="Times New Roman"/>
          </w:rPr>
          <w:t>niluhputusetyadewisetyadewi@gmail.com</w:t>
        </w:r>
      </w:hyperlink>
      <w:r w:rsidRPr="0037145C">
        <w:rPr>
          <w:rFonts w:ascii="Times New Roman" w:hAnsi="Times New Roman" w:cs="Times New Roman"/>
          <w:sz w:val="24"/>
          <w:szCs w:val="24"/>
          <w:lang w:val="en-US"/>
        </w:rPr>
        <w:t xml:space="preserve"> </w:t>
      </w:r>
    </w:p>
    <w:p w14:paraId="72458D58"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5</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714C5D7B"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7" w:history="1">
        <w:r w:rsidRPr="0037145C">
          <w:rPr>
            <w:rStyle w:val="Hyperlink"/>
            <w:rFonts w:ascii="Times New Roman" w:hAnsi="Times New Roman" w:cs="Times New Roman"/>
          </w:rPr>
          <w:t>clarencevalerie0@gmail.com</w:t>
        </w:r>
      </w:hyperlink>
      <w:r w:rsidRPr="0037145C">
        <w:rPr>
          <w:rFonts w:ascii="Times New Roman" w:hAnsi="Times New Roman" w:cs="Times New Roman"/>
          <w:sz w:val="24"/>
          <w:szCs w:val="24"/>
          <w:lang w:val="en-US"/>
        </w:rPr>
        <w:t xml:space="preserve"> </w:t>
      </w:r>
    </w:p>
    <w:p w14:paraId="19AB22E9"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6</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5566F56C" w14:textId="77777777" w:rsidR="00640082" w:rsidRPr="0037145C" w:rsidRDefault="00640082" w:rsidP="0035528D">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8" w:history="1">
        <w:r w:rsidRPr="0037145C">
          <w:rPr>
            <w:rStyle w:val="Hyperlink"/>
            <w:rFonts w:ascii="Times New Roman" w:hAnsi="Times New Roman" w:cs="Times New Roman"/>
          </w:rPr>
          <w:t>alfinwong19@gmail.com</w:t>
        </w:r>
      </w:hyperlink>
      <w:r w:rsidRPr="0037145C">
        <w:rPr>
          <w:rFonts w:ascii="Times New Roman" w:hAnsi="Times New Roman" w:cs="Times New Roman"/>
          <w:sz w:val="24"/>
          <w:szCs w:val="24"/>
          <w:lang w:val="en-US"/>
        </w:rPr>
        <w:t xml:space="preserve"> </w:t>
      </w:r>
    </w:p>
    <w:p w14:paraId="69E21396" w14:textId="77777777" w:rsidR="00640082" w:rsidRPr="0037145C" w:rsidRDefault="00640082" w:rsidP="00EB0BC8">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vertAlign w:val="superscript"/>
          <w:lang w:val="en-US"/>
        </w:rPr>
        <w:t>7</w:t>
      </w:r>
      <w:r w:rsidRPr="0037145C">
        <w:rPr>
          <w:rFonts w:ascii="Times New Roman" w:hAnsi="Times New Roman" w:cs="Times New Roman"/>
          <w:sz w:val="24"/>
          <w:szCs w:val="24"/>
          <w:lang w:val="en-US"/>
        </w:rPr>
        <w:t>Communication Studies Dept., Faculty of Social and Poli</w:t>
      </w:r>
      <w:r>
        <w:rPr>
          <w:rFonts w:ascii="Times New Roman" w:hAnsi="Times New Roman" w:cs="Times New Roman"/>
          <w:sz w:val="24"/>
          <w:szCs w:val="24"/>
          <w:lang w:val="en-US"/>
        </w:rPr>
        <w:t>ti</w:t>
      </w:r>
      <w:r w:rsidRPr="0037145C">
        <w:rPr>
          <w:rFonts w:ascii="Times New Roman" w:hAnsi="Times New Roman" w:cs="Times New Roman"/>
          <w:sz w:val="24"/>
          <w:szCs w:val="24"/>
          <w:lang w:val="en-US"/>
        </w:rPr>
        <w:t xml:space="preserve">cal Science, </w:t>
      </w:r>
      <w:proofErr w:type="spellStart"/>
      <w:r w:rsidRPr="0037145C">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University</w:t>
      </w:r>
      <w:r w:rsidRPr="0037145C">
        <w:rPr>
          <w:rFonts w:ascii="Times New Roman" w:hAnsi="Times New Roman" w:cs="Times New Roman"/>
          <w:sz w:val="24"/>
          <w:szCs w:val="24"/>
          <w:lang w:val="en-US"/>
        </w:rPr>
        <w:t xml:space="preserve">, </w:t>
      </w:r>
      <w:proofErr w:type="spellStart"/>
      <w:r w:rsidRPr="0037145C">
        <w:rPr>
          <w:rFonts w:ascii="Times New Roman" w:hAnsi="Times New Roman" w:cs="Times New Roman"/>
          <w:sz w:val="24"/>
          <w:szCs w:val="24"/>
          <w:lang w:val="en-US"/>
        </w:rPr>
        <w:t>Samarinda</w:t>
      </w:r>
      <w:proofErr w:type="spellEnd"/>
      <w:r w:rsidRPr="0037145C">
        <w:rPr>
          <w:rFonts w:ascii="Times New Roman" w:hAnsi="Times New Roman" w:cs="Times New Roman"/>
          <w:sz w:val="24"/>
          <w:szCs w:val="24"/>
          <w:lang w:val="en-US"/>
        </w:rPr>
        <w:t>, Indonesia</w:t>
      </w:r>
    </w:p>
    <w:p w14:paraId="21165C27" w14:textId="77777777" w:rsidR="00640082" w:rsidRPr="0037145C" w:rsidRDefault="00640082" w:rsidP="00417410">
      <w:pPr>
        <w:spacing w:after="0" w:line="240" w:lineRule="auto"/>
        <w:jc w:val="center"/>
        <w:rPr>
          <w:rFonts w:ascii="Times New Roman" w:hAnsi="Times New Roman" w:cs="Times New Roman"/>
          <w:sz w:val="24"/>
          <w:szCs w:val="24"/>
          <w:lang w:val="en-US"/>
        </w:rPr>
      </w:pPr>
      <w:r w:rsidRPr="0037145C">
        <w:rPr>
          <w:rFonts w:ascii="Times New Roman" w:hAnsi="Times New Roman" w:cs="Times New Roman"/>
          <w:sz w:val="24"/>
          <w:szCs w:val="24"/>
          <w:lang w:val="en-US"/>
        </w:rPr>
        <w:t xml:space="preserve">Email: </w:t>
      </w:r>
      <w:hyperlink r:id="rId69" w:history="1">
        <w:r w:rsidRPr="0037145C">
          <w:rPr>
            <w:rStyle w:val="Hyperlink"/>
            <w:rFonts w:ascii="Times New Roman" w:hAnsi="Times New Roman" w:cs="Times New Roman"/>
          </w:rPr>
          <w:t>rinajuwita@fisip.unmul.ac.id</w:t>
        </w:r>
      </w:hyperlink>
      <w:r w:rsidRPr="0037145C">
        <w:rPr>
          <w:rFonts w:ascii="Times New Roman" w:hAnsi="Times New Roman" w:cs="Times New Roman"/>
          <w:sz w:val="24"/>
          <w:szCs w:val="24"/>
          <w:lang w:val="en-US"/>
        </w:rPr>
        <w:t xml:space="preserve">  </w:t>
      </w:r>
    </w:p>
    <w:p w14:paraId="71DA04E7" w14:textId="77777777" w:rsidR="00640082" w:rsidRPr="0037145C" w:rsidRDefault="00640082" w:rsidP="00726AE4">
      <w:pPr>
        <w:rPr>
          <w:lang w:val="en-US"/>
        </w:rPr>
      </w:pPr>
    </w:p>
    <w:p w14:paraId="61970525" w14:textId="77777777" w:rsidR="00640082" w:rsidRPr="0037145C" w:rsidRDefault="00640082" w:rsidP="009A4688">
      <w:pPr>
        <w:jc w:val="center"/>
        <w:rPr>
          <w:rFonts w:ascii="Times New Roman" w:hAnsi="Times New Roman" w:cs="Times New Roman"/>
          <w:b/>
          <w:bCs/>
          <w:sz w:val="24"/>
          <w:szCs w:val="24"/>
          <w:lang w:val="en-US"/>
        </w:rPr>
      </w:pPr>
      <w:r w:rsidRPr="0037145C">
        <w:rPr>
          <w:rFonts w:ascii="Times New Roman" w:hAnsi="Times New Roman" w:cs="Times New Roman"/>
          <w:b/>
          <w:bCs/>
          <w:sz w:val="24"/>
          <w:szCs w:val="24"/>
          <w:lang w:val="en-US"/>
        </w:rPr>
        <w:t>Abstract</w:t>
      </w:r>
    </w:p>
    <w:p w14:paraId="79AD4D94" w14:textId="77777777" w:rsidR="00640082" w:rsidRDefault="00640082" w:rsidP="00A11187">
      <w:pPr>
        <w:spacing w:line="240" w:lineRule="auto"/>
        <w:rPr>
          <w:rFonts w:ascii="Times New Roman" w:hAnsi="Times New Roman" w:cs="Times New Roman"/>
          <w:sz w:val="18"/>
          <w:szCs w:val="18"/>
          <w:lang w:val="en-US"/>
        </w:rPr>
      </w:pPr>
      <w:r w:rsidRPr="00026A58">
        <w:rPr>
          <w:rFonts w:ascii="Times New Roman" w:hAnsi="Times New Roman" w:cs="Times New Roman"/>
          <w:sz w:val="18"/>
          <w:szCs w:val="18"/>
          <w:lang w:val="en-US"/>
        </w:rPr>
        <w:t xml:space="preserve">In totalitarian countries like China, powerful social monitoring technologies and AI play a crucial role in political communication. This study analyzes the Chinese government's use of AI technologies, including facial recognition and big data analytics, to monitor civilians closely. The focus is on AI systems such as surveillance tools and the chatbot Xue Xi, which disseminates political narratives and manages information flow. While these technologies enhance state efficiency, they raise significant concerns regarding human rights violations and restrictions on free </w:t>
      </w:r>
      <w:proofErr w:type="spellStart"/>
      <w:proofErr w:type="gramStart"/>
      <w:r w:rsidRPr="00026A58">
        <w:rPr>
          <w:rFonts w:ascii="Times New Roman" w:hAnsi="Times New Roman" w:cs="Times New Roman"/>
          <w:sz w:val="18"/>
          <w:szCs w:val="18"/>
          <w:lang w:val="en-US"/>
        </w:rPr>
        <w:t>speech.This</w:t>
      </w:r>
      <w:proofErr w:type="spellEnd"/>
      <w:proofErr w:type="gramEnd"/>
      <w:r w:rsidRPr="00026A58">
        <w:rPr>
          <w:rFonts w:ascii="Times New Roman" w:hAnsi="Times New Roman" w:cs="Times New Roman"/>
          <w:sz w:val="18"/>
          <w:szCs w:val="18"/>
          <w:lang w:val="en-US"/>
        </w:rPr>
        <w:t xml:space="preserve"> research addresses the critical question of how AI influences authoritarian governance in China, demonstrating through case studies how these tools consolidate governmental authority and threaten individual liberties. The integration of AI into China’s governance framework poses risks to civil liberties domestically and impacts global power dynamics. The study emphasizes the need for ongoing evaluation of AI's effects on democratic principles and human rights worldwide, recommending international collaboration to address AI governance concerns.</w:t>
      </w:r>
    </w:p>
    <w:p w14:paraId="0886319D" w14:textId="77777777" w:rsidR="00640082" w:rsidRPr="0037145C" w:rsidRDefault="00640082" w:rsidP="00A11187">
      <w:pPr>
        <w:spacing w:line="240" w:lineRule="auto"/>
        <w:rPr>
          <w:rFonts w:ascii="Times New Roman" w:hAnsi="Times New Roman" w:cs="Times New Roman"/>
          <w:i/>
          <w:iCs/>
          <w:sz w:val="18"/>
          <w:szCs w:val="18"/>
          <w:lang w:val="en-US"/>
        </w:rPr>
      </w:pPr>
      <w:r w:rsidRPr="0037145C">
        <w:rPr>
          <w:rFonts w:ascii="Times New Roman" w:hAnsi="Times New Roman" w:cs="Times New Roman"/>
          <w:b/>
          <w:bCs/>
          <w:i/>
          <w:iCs/>
          <w:sz w:val="18"/>
          <w:szCs w:val="18"/>
          <w:lang w:val="en-US"/>
        </w:rPr>
        <w:t>Keywords:</w:t>
      </w:r>
      <w:r w:rsidRPr="0037145C">
        <w:rPr>
          <w:rFonts w:ascii="Times New Roman" w:hAnsi="Times New Roman" w:cs="Times New Roman"/>
          <w:sz w:val="18"/>
          <w:szCs w:val="18"/>
          <w:lang w:val="en-US"/>
        </w:rPr>
        <w:t xml:space="preserve"> </w:t>
      </w:r>
      <w:r w:rsidRPr="0037145C">
        <w:rPr>
          <w:rFonts w:ascii="Times New Roman" w:hAnsi="Times New Roman" w:cs="Times New Roman"/>
          <w:i/>
          <w:iCs/>
          <w:sz w:val="18"/>
          <w:szCs w:val="18"/>
          <w:lang w:val="en-US"/>
        </w:rPr>
        <w:t>Artificial Intelligence (AI); Big Data; China: Authoritarianism, Governance Model.</w:t>
      </w:r>
    </w:p>
    <w:p w14:paraId="1F29F77B" w14:textId="77777777" w:rsidR="00640082" w:rsidRPr="0037145C" w:rsidRDefault="00640082" w:rsidP="00A11187">
      <w:pPr>
        <w:spacing w:line="240" w:lineRule="auto"/>
        <w:rPr>
          <w:rFonts w:ascii="Times New Roman" w:hAnsi="Times New Roman" w:cs="Times New Roman"/>
          <w:i/>
          <w:iCs/>
          <w:sz w:val="18"/>
          <w:szCs w:val="18"/>
          <w:lang w:val="en-US"/>
        </w:rPr>
      </w:pPr>
    </w:p>
    <w:p w14:paraId="2807D9F0" w14:textId="7ADC85BC" w:rsidR="00640082" w:rsidRPr="0037145C" w:rsidRDefault="00640082" w:rsidP="00043D40">
      <w:pPr>
        <w:pStyle w:val="ListParagraph"/>
        <w:numPr>
          <w:ilvl w:val="3"/>
          <w:numId w:val="10"/>
        </w:numPr>
        <w:spacing w:line="240" w:lineRule="auto"/>
        <w:ind w:left="709"/>
        <w:rPr>
          <w:rFonts w:ascii="Times New Roman" w:hAnsi="Times New Roman" w:cs="Times New Roman"/>
          <w:b/>
          <w:bCs/>
          <w:sz w:val="24"/>
          <w:szCs w:val="24"/>
          <w:lang w:val="en-US"/>
        </w:rPr>
      </w:pPr>
      <w:r w:rsidRPr="0037145C">
        <w:rPr>
          <w:rFonts w:ascii="Times New Roman" w:hAnsi="Times New Roman" w:cs="Times New Roman"/>
          <w:b/>
          <w:bCs/>
          <w:sz w:val="24"/>
          <w:szCs w:val="24"/>
          <w:lang w:val="en-US"/>
        </w:rPr>
        <w:t xml:space="preserve">Introduction </w:t>
      </w:r>
    </w:p>
    <w:p w14:paraId="5040A520"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The introduction of artificial intelligence (AI) represents a revolutionary change in the manner in which governments and communities interact. This change is defined by the unparalleled capacity of computer systems to imitate the cognitive capabilities of humans. The fast development of artificial intelligence has spread across a variety of industries over the course of the last ten years, including healthcare, information management, and national security. As a consequence, decision-making processes have become more sophisticated, and efficiency have increased. The development of these breakthrough, however, has brought up an increase in worries over the possibility of abuse, notably in the field of political communication. This dual-edged nature of AI necessitates a comprehensive exploration of how this technology is integrated and leveraged by various regimes to maintain or consolidate power </w:t>
      </w:r>
      <w:r w:rsidRPr="0037145C">
        <w:rPr>
          <w:color w:val="000000"/>
          <w:sz w:val="20"/>
          <w:szCs w:val="20"/>
        </w:rPr>
        <w:fldChar w:fldCharType="begin"/>
      </w:r>
      <w:r w:rsidRPr="0037145C">
        <w:rPr>
          <w:color w:val="000000"/>
          <w:sz w:val="20"/>
          <w:szCs w:val="20"/>
        </w:rPr>
        <w:instrText xml:space="preserve"> ADDIN ZOTERO_ITEM CSL_CITATION {"citationID":"lyL5J2xi","properties":{"formattedCitation":"(Feldstein, 2019; Kolade, 2024)","plainCitation":"(Feldstein, 2019; Kolade, 2024)","noteIndex":0},"citationItems":[{"id":890,"uris":["http://zotero.org/users/local/MvyTXXMq/items/HDWGGAAJ"],"itemData":{"id":890,"type":"document","publisher":"Carnegie Endowment for International Peace","title":"The Global Expansion of AI Surveillance","URL":"https://carnegie-production-assets.s3.amazonaws.com/static/files/files__WP-Feldstein-AISurveillance_final1.pdf","author":[{"family":"Feldstein","given":"S."}],"issued":{"date-parts":[["2019"]]}}},{"id":889,"uris":["http://zotero.org/users/local/MvyTXXMq/items/VUDCFDMN"],"itemData":{"id":889,"type":"article-journal","container-title":"Current Research International","DOI":"https://doi.org/10.9734/acri/2024/v24i11945","issue":"11","page":"23-47","title":"Artificial Intelligence and Global Security: Strengthening International Cooperation and Diplomatic Relations","volume":"24","author":[{"family":"Kolade","given":"T. M."}],"issued":{"date-parts":[["2024"]]}}}],"schema":"https://github.com/citation-style-language/schema/raw/master/csl-citation.json"} </w:instrText>
      </w:r>
      <w:r w:rsidRPr="0037145C">
        <w:rPr>
          <w:color w:val="000000"/>
          <w:sz w:val="20"/>
          <w:szCs w:val="20"/>
        </w:rPr>
        <w:fldChar w:fldCharType="separate"/>
      </w:r>
      <w:r w:rsidRPr="0037145C">
        <w:rPr>
          <w:noProof/>
          <w:color w:val="000000"/>
          <w:sz w:val="20"/>
          <w:szCs w:val="20"/>
        </w:rPr>
        <w:t>(Feldstein, 2019; Kolade, 2024)</w:t>
      </w:r>
      <w:r w:rsidRPr="0037145C">
        <w:rPr>
          <w:color w:val="000000"/>
          <w:sz w:val="20"/>
          <w:szCs w:val="20"/>
        </w:rPr>
        <w:fldChar w:fldCharType="end"/>
      </w:r>
      <w:r w:rsidRPr="0037145C">
        <w:rPr>
          <w:color w:val="000000"/>
          <w:sz w:val="20"/>
          <w:szCs w:val="20"/>
        </w:rPr>
        <w:t>.</w:t>
      </w:r>
    </w:p>
    <w:p w14:paraId="5B0BADC4"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When it comes to political communication, artificial intelligence has a significant influence, and this is especially noticeable in authoritarian regimes, where it is used as a strategic instrument for government and control. There is no other place where this is more obvious than in China, a nation that is well-known for its extensive use of technology to strengthen governmental power and guarantee stability. The strategic deployment of artificial intelligence undertaken by the Chinese government covers a multidimensional strategy. This approach includes the implementation of sophisticated surveillance systems, algorithm-driven content restriction, and the propagation of official narratives via controlled media </w:t>
      </w:r>
      <w:r w:rsidRPr="0037145C">
        <w:rPr>
          <w:color w:val="000000"/>
          <w:sz w:val="20"/>
          <w:szCs w:val="20"/>
        </w:rPr>
        <w:fldChar w:fldCharType="begin"/>
      </w:r>
      <w:r w:rsidRPr="0037145C">
        <w:rPr>
          <w:color w:val="000000"/>
          <w:sz w:val="20"/>
          <w:szCs w:val="20"/>
        </w:rPr>
        <w:instrText xml:space="preserve"> ADDIN ZOTERO_ITEM CSL_CITATION {"citationID":"BT6Vj02d","properties":{"formattedCitation":"(Gilbert &amp; Mohseni, 2018; Knutsen, 2015)","plainCitation":"(Gilbert &amp; Mohseni, 2018; Knutsen, 2015)","noteIndex":0},"citationItems":[{"id":892,"uris":["http://zotero.org/users/local/MvyTXXMq/items/BRN27NGQ"],"itemData":{"id":892,"type":"article-journal","container-title":"Kyklos","DOI":"https://doi.org/10.1111/kykl.12087","issue":"3","page":"357-384","title":"Why democracies outgrow autocracies in the long run: Civil liberties, information flows and technological change","volume":"68","author":[{"family":"Knutsen","given":"C.H."}],"issued":{"date-parts":[["2015"]]}}},{"id":891,"uris":["http://zotero.org/users/local/MvyTXXMq/items/VXV34BAN"],"itemData":{"id":891,"type":"article-journal","container-title":"Contemporary politics","DOI":"https://doi.org/10.1080/13569775.2018.1471645","issue":"4","page":"454-480","title":"Disabling dissent: the colour revolutions, autocratic linkages, and civil society regulations in hybrid regimes.","volume":"24","author":[{"family":"Gilbert","given":"L."},{"family":"Mohseni","given":"P."}],"issued":{"date-parts":[["2018"]]}}}],"schema":"https://github.com/citation-style-language/schema/raw/master/csl-citation.json"} </w:instrText>
      </w:r>
      <w:r w:rsidRPr="0037145C">
        <w:rPr>
          <w:color w:val="000000"/>
          <w:sz w:val="20"/>
          <w:szCs w:val="20"/>
        </w:rPr>
        <w:fldChar w:fldCharType="separate"/>
      </w:r>
      <w:r w:rsidRPr="0037145C">
        <w:rPr>
          <w:noProof/>
          <w:color w:val="000000"/>
          <w:sz w:val="20"/>
          <w:szCs w:val="20"/>
        </w:rPr>
        <w:t>(Gilbert &amp; Mohseni, 2018; Knutsen, 2015)</w:t>
      </w:r>
      <w:r w:rsidRPr="0037145C">
        <w:rPr>
          <w:color w:val="000000"/>
          <w:sz w:val="20"/>
          <w:szCs w:val="20"/>
        </w:rPr>
        <w:fldChar w:fldCharType="end"/>
      </w:r>
      <w:r w:rsidRPr="0037145C">
        <w:rPr>
          <w:color w:val="000000"/>
          <w:sz w:val="20"/>
          <w:szCs w:val="20"/>
        </w:rPr>
        <w:t xml:space="preserve">. The mechanisms not only strengthen the government’s ability to monitor and control its population, but they also redefine the relationship between the extent of state power and the protection of civil liberties. </w:t>
      </w:r>
    </w:p>
    <w:p w14:paraId="6A161CAE"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The massive surveillance network that China has in place, which includes face recognition technology and big data analytics, is a prime example of how artificial intelligence has been incorporated into Chinese administration. These techniques make it possible to monitor people in real time, which improves the government’s ability to control social stability and prevent dissension from occurring. These kinds of systems lead to a culture of self-censorship and social acquiescence, which in turn reduces the amount of space available for political action and public engagement. The efficiency of these artificial intelligence-driven surveillance measures has resulted in a surge in investment and development, which has further incorporated such technologies into the framework of governance </w:t>
      </w:r>
      <w:r w:rsidRPr="0037145C">
        <w:rPr>
          <w:color w:val="000000"/>
          <w:sz w:val="20"/>
          <w:szCs w:val="20"/>
        </w:rPr>
        <w:fldChar w:fldCharType="begin"/>
      </w:r>
      <w:r w:rsidRPr="0037145C">
        <w:rPr>
          <w:color w:val="000000"/>
          <w:sz w:val="20"/>
          <w:szCs w:val="20"/>
        </w:rPr>
        <w:instrText xml:space="preserve"> ADDIN ZOTERO_ITEM CSL_CITATION {"citationID":"Ho6ANnBB","properties":{"formattedCitation":"(Taeihagh, 2021)","plainCitation":"(Taeihagh, 2021)","noteIndex":0},"citationItems":[{"id":893,"uris":["http://zotero.org/users/local/MvyTXXMq/items/7RZ7KIGC"],"itemData":{"id":893,"type":"article-journal","container-title":"Policy and society","DOI":"https://doi.org/10.1080/14494035.2021.1928377","issue":"2","page":"137-157","title":"Governance of artificial intelligence.","volume":"40","author":[{"family":"Taeihagh","given":"A."}],"issued":{"date-parts":[["2021"]]}}}],"schema":"https://github.com/citation-style-language/schema/raw/master/csl-citation.json"} </w:instrText>
      </w:r>
      <w:r w:rsidRPr="0037145C">
        <w:rPr>
          <w:color w:val="000000"/>
          <w:sz w:val="20"/>
          <w:szCs w:val="20"/>
        </w:rPr>
        <w:fldChar w:fldCharType="separate"/>
      </w:r>
      <w:r w:rsidRPr="0037145C">
        <w:rPr>
          <w:noProof/>
          <w:color w:val="000000"/>
          <w:sz w:val="20"/>
          <w:szCs w:val="20"/>
        </w:rPr>
        <w:t>(Taeihagh, 2021)</w:t>
      </w:r>
      <w:r w:rsidRPr="0037145C">
        <w:rPr>
          <w:color w:val="000000"/>
          <w:sz w:val="20"/>
          <w:szCs w:val="20"/>
        </w:rPr>
        <w:fldChar w:fldCharType="end"/>
      </w:r>
      <w:r w:rsidRPr="0037145C">
        <w:rPr>
          <w:color w:val="000000"/>
          <w:sz w:val="20"/>
          <w:szCs w:val="20"/>
        </w:rPr>
        <w:t xml:space="preserve">. This study attempts to examine these practices, detailing how AI-driven surveillance methods expand state control and attack core human rights. Including privacy and freedom of speech </w:t>
      </w:r>
      <w:r w:rsidRPr="0037145C">
        <w:rPr>
          <w:color w:val="000000"/>
          <w:sz w:val="20"/>
          <w:szCs w:val="20"/>
        </w:rPr>
        <w:fldChar w:fldCharType="begin"/>
      </w:r>
      <w:r w:rsidRPr="0037145C">
        <w:rPr>
          <w:color w:val="000000"/>
          <w:sz w:val="20"/>
          <w:szCs w:val="20"/>
        </w:rPr>
        <w:instrText xml:space="preserve"> ADDIN ZOTERO_ITEM CSL_CITATION {"citationID":"2rmhGQ85","properties":{"formattedCitation":"(Aloamaka &amp; Omozue, 2024)","plainCitation":"(Aloamaka &amp; Omozue, 2024)","noteIndex":0},"citationItems":[{"id":894,"uris":["http://zotero.org/users/local/MvyTXXMq/items/DA92BHGN"],"itemData":{"id":894,"type":"article-journal","container-title":"Khazanah Hukum","DOI":"https://doi.org/10.15575/kh.v6i2.37801","issue":"2","page":"189-201","title":"AI and Human Rights: Navigating Ethical and Legal Challenges in Developing Nations.","volume":"6","author":[{"family":"Aloamaka","given":"P. C."},{"family":"Omozue","given":"M. O."}],"issued":{"date-parts":[["2024"]]}}}],"schema":"https://github.com/citation-style-language/schema/raw/master/csl-citation.json"} </w:instrText>
      </w:r>
      <w:r w:rsidRPr="0037145C">
        <w:rPr>
          <w:color w:val="000000"/>
          <w:sz w:val="20"/>
          <w:szCs w:val="20"/>
        </w:rPr>
        <w:fldChar w:fldCharType="separate"/>
      </w:r>
      <w:r w:rsidRPr="0037145C">
        <w:rPr>
          <w:noProof/>
          <w:color w:val="000000"/>
          <w:sz w:val="20"/>
          <w:szCs w:val="20"/>
        </w:rPr>
        <w:t>(Aloamaka &amp; Omozue, 2024)</w:t>
      </w:r>
      <w:r w:rsidRPr="0037145C">
        <w:rPr>
          <w:color w:val="000000"/>
          <w:sz w:val="20"/>
          <w:szCs w:val="20"/>
        </w:rPr>
        <w:fldChar w:fldCharType="end"/>
      </w:r>
      <w:r w:rsidRPr="0037145C">
        <w:rPr>
          <w:color w:val="000000"/>
          <w:sz w:val="20"/>
          <w:szCs w:val="20"/>
        </w:rPr>
        <w:t xml:space="preserve">. </w:t>
      </w:r>
    </w:p>
    <w:p w14:paraId="6D572F4D" w14:textId="77777777" w:rsidR="00640082"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Artificial intelligence has a significant influence in molding political discourse via controlled digital platforms, in addition to its function in monitoring. An excellent illustration of this is the Xue Xi Qiang Guo application, which functions not just as a teaching tool but also as a medium for the dissemination of official propaganda. Utilizing artificial intelligence algorithms, this platform provides selected information that only supports the ideology of the government but also discreetly influences the perceptions of the general people. Xue Xi is a prime example of how artificial intelligence can be utilized not only for surveillance but also for ideological alignment and social conditioning </w:t>
      </w:r>
      <w:r w:rsidRPr="0037145C">
        <w:rPr>
          <w:color w:val="000000"/>
          <w:sz w:val="20"/>
          <w:szCs w:val="20"/>
        </w:rPr>
        <w:fldChar w:fldCharType="begin"/>
      </w:r>
      <w:r w:rsidRPr="0037145C">
        <w:rPr>
          <w:color w:val="000000"/>
          <w:sz w:val="20"/>
          <w:szCs w:val="20"/>
        </w:rPr>
        <w:instrText xml:space="preserve"> ADDIN ZOTERO_ITEM CSL_CITATION {"citationID":"Tckjzp3p","properties":{"formattedCitation":"(Gherhes et al., 2023)","plainCitation":"(Gherhes et al., 2023)","noteIndex":0},"citationItems":[{"id":895,"uris":["http://zotero.org/users/local/MvyTXXMq/items/VTEKPZLU"],"itemData":{"id":895,"type":"article-journal","container-title":"World Development","DOI":"https://doi.org/10.1016/j.worlddev.2023.106252","page":"106252","title":"Technological trajectories as an outcome of the structure-agency interplay at the national level: Insights from emerging varieties of AI.","volume":"168","author":[{"family":"Gherhes","given":"C."},{"family":"Yu","given":"Z."},{"family":"Vorley","given":"T."},{"family":"Xue","given":"L."}],"issued":{"date-parts":[["2023"]]}}}],"schema":"https://github.com/citation-style-language/schema/raw/master/csl-citation.json"} </w:instrText>
      </w:r>
      <w:r w:rsidRPr="0037145C">
        <w:rPr>
          <w:color w:val="000000"/>
          <w:sz w:val="20"/>
          <w:szCs w:val="20"/>
        </w:rPr>
        <w:fldChar w:fldCharType="separate"/>
      </w:r>
      <w:r w:rsidRPr="0037145C">
        <w:rPr>
          <w:noProof/>
          <w:color w:val="000000"/>
          <w:sz w:val="20"/>
          <w:szCs w:val="20"/>
        </w:rPr>
        <w:t>(Gherhes et al., 2023)</w:t>
      </w:r>
      <w:r w:rsidRPr="0037145C">
        <w:rPr>
          <w:color w:val="000000"/>
          <w:sz w:val="20"/>
          <w:szCs w:val="20"/>
        </w:rPr>
        <w:fldChar w:fldCharType="end"/>
      </w:r>
      <w:r w:rsidRPr="0037145C">
        <w:rPr>
          <w:color w:val="000000"/>
          <w:sz w:val="20"/>
          <w:szCs w:val="20"/>
        </w:rPr>
        <w:t xml:space="preserve">. This is accomplished by systematically reinforcing narratives that are in line with the objectives of the state. The strategic deployment of artificial intelligence in such applications indicates a change in the manner in which political propaganda is designed and broadcast, which has major consequences for the independence of public opinion </w:t>
      </w:r>
      <w:r w:rsidRPr="0037145C">
        <w:rPr>
          <w:color w:val="000000"/>
          <w:sz w:val="20"/>
          <w:szCs w:val="20"/>
        </w:rPr>
        <w:fldChar w:fldCharType="begin"/>
      </w:r>
      <w:r w:rsidRPr="0037145C">
        <w:rPr>
          <w:color w:val="000000"/>
          <w:sz w:val="20"/>
          <w:szCs w:val="20"/>
        </w:rPr>
        <w:instrText xml:space="preserve"> ADDIN ZOTERO_ITEM CSL_CITATION {"citationID":"K7i43xV7","properties":{"formattedCitation":"(Howard et al., 2018)","plainCitation":"(Howard et al., 2018)","noteIndex":0},"citationItems":[{"id":896,"uris":["http://zotero.org/users/local/MvyTXXMq/items/XB2EAZVN"],"itemData":{"id":896,"type":"article-journal","container-title":"Journal of information technology &amp; politics","DOI":"https://doi.org/10.1080/19331681.2018.1448735","issue":"2","page":"81-93","title":"Algorithms, bots, and political communication in the US 2016 election: The challenge of automated political communication for election law and administration.","volume":"15","author":[{"family":"Howard","given":"P. N."},{"family":"Woolley","given":"S."},{"family":"Calo","given":"R."}],"issued":{"date-parts":[["2018"]]}}}],"schema":"https://github.com/citation-style-language/schema/raw/master/csl-citation.json"} </w:instrText>
      </w:r>
      <w:r w:rsidRPr="0037145C">
        <w:rPr>
          <w:color w:val="000000"/>
          <w:sz w:val="20"/>
          <w:szCs w:val="20"/>
        </w:rPr>
        <w:fldChar w:fldCharType="separate"/>
      </w:r>
      <w:r w:rsidRPr="0037145C">
        <w:rPr>
          <w:noProof/>
          <w:color w:val="000000"/>
          <w:sz w:val="20"/>
          <w:szCs w:val="20"/>
        </w:rPr>
        <w:t>(Howard et al., 2018)</w:t>
      </w:r>
      <w:r w:rsidRPr="0037145C">
        <w:rPr>
          <w:color w:val="000000"/>
          <w:sz w:val="20"/>
          <w:szCs w:val="20"/>
        </w:rPr>
        <w:fldChar w:fldCharType="end"/>
      </w:r>
      <w:r w:rsidRPr="0037145C">
        <w:rPr>
          <w:color w:val="000000"/>
          <w:sz w:val="20"/>
          <w:szCs w:val="20"/>
        </w:rPr>
        <w:t xml:space="preserve">. </w:t>
      </w:r>
    </w:p>
    <w:p w14:paraId="44BE92FC" w14:textId="77777777" w:rsidR="00640082" w:rsidRDefault="00640082" w:rsidP="00C93575">
      <w:pPr>
        <w:pStyle w:val="NormalWeb"/>
        <w:spacing w:before="0" w:beforeAutospacing="0" w:after="0" w:afterAutospacing="0"/>
        <w:ind w:left="720" w:firstLine="720"/>
        <w:jc w:val="both"/>
        <w:rPr>
          <w:color w:val="000000"/>
          <w:sz w:val="20"/>
          <w:szCs w:val="20"/>
        </w:rPr>
      </w:pPr>
    </w:p>
    <w:p w14:paraId="5E19AAAE" w14:textId="77777777" w:rsidR="00640082" w:rsidRDefault="00640082" w:rsidP="00C93575">
      <w:pPr>
        <w:pStyle w:val="NormalWeb"/>
        <w:spacing w:before="0" w:beforeAutospacing="0" w:after="0" w:afterAutospacing="0"/>
        <w:ind w:left="720" w:firstLine="720"/>
        <w:jc w:val="both"/>
        <w:rPr>
          <w:color w:val="000000"/>
          <w:sz w:val="20"/>
          <w:szCs w:val="20"/>
        </w:rPr>
      </w:pPr>
      <w:r w:rsidRPr="00401C2B">
        <w:rPr>
          <w:color w:val="000000"/>
          <w:sz w:val="20"/>
          <w:szCs w:val="20"/>
        </w:rPr>
        <w:t>The oldest theory is Authoritarian Communication, which was born during Gutenberg's ti</w:t>
      </w:r>
      <w:r>
        <w:rPr>
          <w:color w:val="000000"/>
          <w:sz w:val="20"/>
          <w:szCs w:val="20"/>
        </w:rPr>
        <w:t>m</w:t>
      </w:r>
      <w:r w:rsidRPr="00401C2B">
        <w:rPr>
          <w:color w:val="000000"/>
          <w:sz w:val="20"/>
          <w:szCs w:val="20"/>
        </w:rPr>
        <w:t>e</w:t>
      </w:r>
      <w:r>
        <w:rPr>
          <w:color w:val="000000"/>
          <w:sz w:val="20"/>
          <w:szCs w:val="20"/>
        </w:rPr>
        <w:t xml:space="preserve"> </w:t>
      </w:r>
      <w:sdt>
        <w:sdtPr>
          <w:rPr>
            <w:color w:val="000000"/>
            <w:sz w:val="20"/>
            <w:szCs w:val="20"/>
          </w:rPr>
          <w:tag w:val="MENDELEY_CITATION_v3_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"/>
          <w:id w:val="-572505187"/>
          <w:placeholder>
            <w:docPart w:val="330C4B865C2C433B8C9522C43FF31C44"/>
          </w:placeholder>
        </w:sdtPr>
        <w:sdtContent>
          <w:r w:rsidRPr="00D05689">
            <w:rPr>
              <w:color w:val="000000"/>
              <w:sz w:val="20"/>
              <w:szCs w:val="20"/>
            </w:rPr>
            <w:t>(</w:t>
          </w:r>
          <w:proofErr w:type="spellStart"/>
          <w:r w:rsidRPr="00D05689">
            <w:rPr>
              <w:color w:val="000000"/>
              <w:sz w:val="20"/>
              <w:szCs w:val="20"/>
            </w:rPr>
            <w:t>Harmonis</w:t>
          </w:r>
          <w:proofErr w:type="spellEnd"/>
          <w:r w:rsidRPr="00D05689">
            <w:rPr>
              <w:color w:val="000000"/>
              <w:sz w:val="20"/>
              <w:szCs w:val="20"/>
            </w:rPr>
            <w:t>, 2022)</w:t>
          </w:r>
        </w:sdtContent>
      </w:sdt>
      <w:r>
        <w:rPr>
          <w:color w:val="000000"/>
          <w:sz w:val="20"/>
          <w:szCs w:val="20"/>
        </w:rPr>
        <w:t xml:space="preserve"> </w:t>
      </w:r>
      <w:r w:rsidRPr="00401C2B">
        <w:rPr>
          <w:color w:val="000000"/>
          <w:sz w:val="20"/>
          <w:szCs w:val="20"/>
        </w:rPr>
        <w:t>The authoritarian theory has been maintained and developed over the centuries, and in the context of authoritarian governance in China, the use of artificial intelligence (AI) further strengthens this control. In such societies, the truth of information heavily relies on the government, which employs AI to monitor and censor the news disseminated to the public. In other words, the role of the media, now supported by AI technology, is to inform the public about what the government desires regarding the information that the people want to know. Within this system, the media is responsible for ensuring the accuracy of the news or information provided by the government, which is now enhanced by AI algorithms to prevent challenges to that information. The head of state and the government, along with the first lady, only allow the existence of media with government approval, and although private ownership is permitted, licenses for publication and broadcasting can be revoked at the discretion of the leaders. Thus, the right to censor news is entirely controlled by the government, which is now equipped with AI technology to enhance the effectiveness of its control over information and public narratives.</w:t>
      </w:r>
    </w:p>
    <w:p w14:paraId="19B5CCF3" w14:textId="77777777" w:rsidR="00640082" w:rsidRPr="0037145C" w:rsidRDefault="00640082" w:rsidP="00C93575">
      <w:pPr>
        <w:pStyle w:val="NormalWeb"/>
        <w:spacing w:before="0" w:beforeAutospacing="0" w:after="0" w:afterAutospacing="0"/>
        <w:ind w:left="720" w:firstLine="720"/>
        <w:jc w:val="both"/>
        <w:rPr>
          <w:color w:val="000000"/>
          <w:sz w:val="20"/>
          <w:szCs w:val="20"/>
        </w:rPr>
      </w:pPr>
    </w:p>
    <w:p w14:paraId="6E8443CA"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The artificial intelligence model that China has developed has important implications for the whole world because it demonstrates the possibility that technology might be utilized as a tool of government that places a higher priority on control than on human rights. This vulnerability is highlighted by the exporting of artificial intelligence surveillance technology to other governments, which creates a template for authoritarian regimes that are achieving their goal of consolidating power </w:t>
      </w:r>
      <w:r w:rsidRPr="0037145C">
        <w:rPr>
          <w:color w:val="000000"/>
          <w:sz w:val="20"/>
          <w:szCs w:val="20"/>
        </w:rPr>
        <w:fldChar w:fldCharType="begin"/>
      </w:r>
      <w:r w:rsidRPr="0037145C">
        <w:rPr>
          <w:color w:val="000000"/>
          <w:sz w:val="20"/>
          <w:szCs w:val="20"/>
        </w:rPr>
        <w:instrText xml:space="preserve"> ADDIN ZOTERO_ITEM CSL_CITATION {"citationID":"qw95idNq","properties":{"formattedCitation":"(Hoxhaj et al., 2023)","plainCitation":"(Hoxhaj et al., 2023)","noteIndex":0},"citationItems":[{"id":897,"uris":["http://zotero.org/users/local/MvyTXXMq/items/7PPVZ2M2"],"itemData":{"id":897,"type":"article-journal","container-title":"Balkan Social Science Review","issue":"22","page":"153-171","title":"Ethical Implications and Human Rights Violations In the Age of Artificial Intelligence","volume":"22","author":[{"family":"Hoxhaj","given":"O."},{"family":"Halilaj","given":"B."},{"family":"Hariji","given":"A."}],"issued":{"date-parts":[["2023"]]}}}],"schema":"https://github.com/citation-style-language/schema/raw/master/csl-citation.json"} </w:instrText>
      </w:r>
      <w:r w:rsidRPr="0037145C">
        <w:rPr>
          <w:color w:val="000000"/>
          <w:sz w:val="20"/>
          <w:szCs w:val="20"/>
        </w:rPr>
        <w:fldChar w:fldCharType="separate"/>
      </w:r>
      <w:r w:rsidRPr="0037145C">
        <w:rPr>
          <w:noProof/>
          <w:color w:val="000000"/>
          <w:sz w:val="20"/>
          <w:szCs w:val="20"/>
        </w:rPr>
        <w:t>(Hoxhaj et al., 2023)</w:t>
      </w:r>
      <w:r w:rsidRPr="0037145C">
        <w:rPr>
          <w:color w:val="000000"/>
          <w:sz w:val="20"/>
          <w:szCs w:val="20"/>
        </w:rPr>
        <w:fldChar w:fldCharType="end"/>
      </w:r>
      <w:r w:rsidRPr="0037145C">
        <w:rPr>
          <w:color w:val="000000"/>
          <w:sz w:val="20"/>
          <w:szCs w:val="20"/>
        </w:rPr>
        <w:t xml:space="preserve">. The development of such techniques poses a challenge to international human rights norms and raises issues about the ethical use of artificial intelligence. Furthermore, the purpose of this research is to shed light on the junction of technology and power, demonstrating how artificial intelligence has the potential to both strengthen democratic institutions and weaken them. It investigates the ways in which China’s example establishes a precedent that has the potential to influence the adoption of artificial intelligence by governments all over the globe </w:t>
      </w:r>
      <w:r w:rsidRPr="0037145C">
        <w:rPr>
          <w:color w:val="000000"/>
          <w:sz w:val="20"/>
          <w:szCs w:val="20"/>
        </w:rPr>
        <w:fldChar w:fldCharType="begin"/>
      </w:r>
      <w:r w:rsidRPr="0037145C">
        <w:rPr>
          <w:color w:val="000000"/>
          <w:sz w:val="20"/>
          <w:szCs w:val="20"/>
        </w:rPr>
        <w:instrText xml:space="preserve"> ADDIN ZOTERO_ITEM CSL_CITATION {"citationID":"oJvojGe4","properties":{"formattedCitation":"(Saeidnia et al., 2024)","plainCitation":"(Saeidnia et al., 2024)","noteIndex":0},"citationItems":[{"id":898,"uris":["http://zotero.org/users/local/MvyTXXMq/items/RZSZMTLZ"],"itemData":{"id":898,"type":"article-journal","container-title":"Social Sciences","issue":"7","page":"1-15","title":"Ethical Considerations in Artificial Intelligence Interventions for Mental Health and Well-Being: Ensuring Responsible Implementation and Impact","volume":"13","author":[{"family":"Saeidnia","given":"H. R."},{"family":"Fotami","given":"S. G. H."},{"family":"Lund","given":"B."},{"family":"Ghiasi","given":"N."}],"issued":{"date-parts":[["2024"]]}}}],"schema":"https://github.com/citation-style-language/schema/raw/master/csl-citation.json"} </w:instrText>
      </w:r>
      <w:r w:rsidRPr="0037145C">
        <w:rPr>
          <w:color w:val="000000"/>
          <w:sz w:val="20"/>
          <w:szCs w:val="20"/>
        </w:rPr>
        <w:fldChar w:fldCharType="separate"/>
      </w:r>
      <w:r w:rsidRPr="0037145C">
        <w:rPr>
          <w:noProof/>
          <w:color w:val="000000"/>
          <w:sz w:val="20"/>
          <w:szCs w:val="20"/>
        </w:rPr>
        <w:t>(Saeidnia et al., 2024)</w:t>
      </w:r>
      <w:r w:rsidRPr="0037145C">
        <w:rPr>
          <w:color w:val="000000"/>
          <w:sz w:val="20"/>
          <w:szCs w:val="20"/>
        </w:rPr>
        <w:fldChar w:fldCharType="end"/>
      </w:r>
      <w:r w:rsidRPr="0037145C">
        <w:rPr>
          <w:color w:val="000000"/>
          <w:sz w:val="20"/>
          <w:szCs w:val="20"/>
        </w:rPr>
        <w:t xml:space="preserve">. </w:t>
      </w:r>
    </w:p>
    <w:p w14:paraId="6329A174"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One of the most distinctive aspects of this study is that it investigates the dual-use nature of artificial intelligence as a tool for both social control and governance. Through an analysis of the more widespread effects of political communication tools powered by artificial intelligence, this article provides fresh perspectives on the ways in which technology amplifies the power of the state. The importance of researching artificial intelligence in this context goes beyond China, as it contributes to conversations taking place all over the world about how to strike a balance between technological advancement and the preservation of human rights. The use of artificial intelligence for political objectives raises a number of significant ethical concerns, including questions of discrimination and transparency, as well as the possible psychological consequences on populations that are being observed </w:t>
      </w:r>
      <w:r w:rsidRPr="0037145C">
        <w:rPr>
          <w:color w:val="000000"/>
          <w:sz w:val="20"/>
          <w:szCs w:val="20"/>
        </w:rPr>
        <w:fldChar w:fldCharType="begin"/>
      </w:r>
      <w:r w:rsidRPr="0037145C">
        <w:rPr>
          <w:color w:val="000000"/>
          <w:sz w:val="20"/>
          <w:szCs w:val="20"/>
        </w:rPr>
        <w:instrText xml:space="preserve"> ADDIN ZOTERO_ITEM CSL_CITATION {"citationID":"2AeVYvYw","properties":{"formattedCitation":"(Saeidnia et al., 2024)","plainCitation":"(Saeidnia et al., 2024)","noteIndex":0},"citationItems":[{"id":898,"uris":["http://zotero.org/users/local/MvyTXXMq/items/RZSZMTLZ"],"itemData":{"id":898,"type":"article-journal","container-title":"Social Sciences","issue":"7","page":"1-15","title":"Ethical Considerations in Artificial Intelligence Interventions for Mental Health and Well-Being: Ensuring Responsible Implementation and Impact","volume":"13","author":[{"family":"Saeidnia","given":"H. R."},{"family":"Fotami","given":"S. G. H."},{"family":"Lund","given":"B."},{"family":"Ghiasi","given":"N."}],"issued":{"date-parts":[["2024"]]}}}],"schema":"https://github.com/citation-style-language/schema/raw/master/csl-citation.json"} </w:instrText>
      </w:r>
      <w:r w:rsidRPr="0037145C">
        <w:rPr>
          <w:color w:val="000000"/>
          <w:sz w:val="20"/>
          <w:szCs w:val="20"/>
        </w:rPr>
        <w:fldChar w:fldCharType="separate"/>
      </w:r>
      <w:r w:rsidRPr="0037145C">
        <w:rPr>
          <w:noProof/>
          <w:color w:val="000000"/>
          <w:sz w:val="20"/>
          <w:szCs w:val="20"/>
        </w:rPr>
        <w:t>(Saeidnia et al., 2024)</w:t>
      </w:r>
      <w:r w:rsidRPr="0037145C">
        <w:rPr>
          <w:color w:val="000000"/>
          <w:sz w:val="20"/>
          <w:szCs w:val="20"/>
        </w:rPr>
        <w:fldChar w:fldCharType="end"/>
      </w:r>
      <w:r w:rsidRPr="0037145C">
        <w:rPr>
          <w:color w:val="000000"/>
          <w:sz w:val="20"/>
          <w:szCs w:val="20"/>
        </w:rPr>
        <w:t xml:space="preserve">. </w:t>
      </w:r>
    </w:p>
    <w:p w14:paraId="4F23CFC2"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It is important to note that this study is unusual since it provides a comprehensive examination of the ways in which AI-enabled platforms like Xue Xie contribute to the introduction and control of political processes. A more compelling and ubiquitous type of influence may be created via the use of AI-driven technologies, which, in contrast to conventional propaganda techniques, are able to personalize the distribution of material to specific users. The government is now able to achieve a degree of accuracy in the transmission of information that was before unachievable thanks to this individualized method. Additionally, the study will investigate how these technologies are used to strengthen pre-existing power structures and restrict prospects for dissent by altering digital environments in order to conform with state goals. </w:t>
      </w:r>
    </w:p>
    <w:p w14:paraId="2BE61F8B" w14:textId="77777777" w:rsidR="00640082" w:rsidRPr="0037145C" w:rsidRDefault="00640082" w:rsidP="00C93575">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Presented data that illustrated the ramifications of artificial intelligence on governance and civil rights in authoritarian environments, this study makes a contribution to the academic discussion by highlighting these implications. This research attempts to explain how artificial intelligence impacts public opinion management and the repression of dissent by gaining a knowledge of the methods via which AI is incorporated into state administration. Additionally, it will stimulate discussion on the future trajectory of artificial intelligence  usage in political settings, especially with regard to the regulatory and ethical considerations that are required to avoid misuse </w:t>
      </w:r>
      <w:r w:rsidRPr="0037145C">
        <w:rPr>
          <w:color w:val="000000"/>
          <w:sz w:val="20"/>
          <w:szCs w:val="20"/>
        </w:rPr>
        <w:fldChar w:fldCharType="begin"/>
      </w:r>
      <w:r w:rsidRPr="0037145C">
        <w:rPr>
          <w:color w:val="000000"/>
          <w:sz w:val="20"/>
          <w:szCs w:val="20"/>
        </w:rPr>
        <w:instrText xml:space="preserve"> ADDIN ZOTERO_ITEM CSL_CITATION {"citationID":"J4C4vUZC","properties":{"formattedCitation":"(Cath, 2018)","plainCitation":"(Cath, 2018)","noteIndex":0},"citationItems":[{"id":899,"uris":["http://zotero.org/users/local/MvyTXXMq/items/CICI25WU"],"itemData":{"id":899,"type":"article-journal","container-title":"Philosophical Transactions of the Royal Society A: Mathematical, Physical and Engineering Sciences","DOI":"https://doi.org/10.1098/rsta.2018.0080","issue":"2133","page":"20180080","title":"Governing artificial intelligence: ethical, legal and technical opportunities and challenges.","volume":"376","author":[{"family":"Cath","given":"C."}],"issued":{"date-parts":[["2018"]]}}}],"schema":"https://github.com/citation-style-language/schema/raw/master/csl-citation.json"} </w:instrText>
      </w:r>
      <w:r w:rsidRPr="0037145C">
        <w:rPr>
          <w:color w:val="000000"/>
          <w:sz w:val="20"/>
          <w:szCs w:val="20"/>
        </w:rPr>
        <w:fldChar w:fldCharType="separate"/>
      </w:r>
      <w:r w:rsidRPr="0037145C">
        <w:rPr>
          <w:noProof/>
          <w:color w:val="000000"/>
          <w:sz w:val="20"/>
          <w:szCs w:val="20"/>
        </w:rPr>
        <w:t>(Cath, 2018)</w:t>
      </w:r>
      <w:r w:rsidRPr="0037145C">
        <w:rPr>
          <w:color w:val="000000"/>
          <w:sz w:val="20"/>
          <w:szCs w:val="20"/>
        </w:rPr>
        <w:fldChar w:fldCharType="end"/>
      </w:r>
      <w:r w:rsidRPr="0037145C">
        <w:rPr>
          <w:color w:val="000000"/>
          <w:sz w:val="20"/>
          <w:szCs w:val="20"/>
        </w:rPr>
        <w:t xml:space="preserve">. </w:t>
      </w:r>
    </w:p>
    <w:p w14:paraId="3654D7B6" w14:textId="77777777" w:rsidR="00640082" w:rsidRPr="0037145C" w:rsidRDefault="00640082" w:rsidP="009920EE">
      <w:pPr>
        <w:pStyle w:val="NormalWeb"/>
        <w:spacing w:before="0" w:beforeAutospacing="0" w:after="0" w:afterAutospacing="0"/>
        <w:ind w:left="720" w:firstLine="720"/>
        <w:jc w:val="both"/>
        <w:rPr>
          <w:color w:val="000000"/>
          <w:sz w:val="20"/>
          <w:szCs w:val="20"/>
        </w:rPr>
      </w:pPr>
      <w:r w:rsidRPr="0037145C">
        <w:rPr>
          <w:color w:val="000000"/>
          <w:sz w:val="20"/>
          <w:szCs w:val="20"/>
        </w:rPr>
        <w:t xml:space="preserve">The techniques that governments use in order to make use of this technology are constantly evolving in tandem with the capabilities of artificial intelligence. The Chinese approach exemplifies a paradigm in which artificial intelligence serves not only as a tool for the growth of technology but also as a foundational component of state control. The purpose of this study is to provide light on the implications that such applications have for democratic principles, human rights, and international political conventions. It also highlights the vital need for an evaluation of the role that artificial intelligence plays in contemporary governance. It is anticipated that the results will contribute to the worldwide conversation on striking a balance between the advancement of technology and ethical responsibility. </w:t>
      </w:r>
    </w:p>
    <w:p w14:paraId="6FE42E24" w14:textId="77777777" w:rsidR="00640082" w:rsidRPr="0037145C" w:rsidRDefault="00640082" w:rsidP="00C93575">
      <w:pPr>
        <w:pStyle w:val="NormalWeb"/>
        <w:spacing w:before="0" w:beforeAutospacing="0" w:after="0" w:afterAutospacing="0"/>
        <w:ind w:left="720" w:firstLine="720"/>
        <w:jc w:val="both"/>
        <w:rPr>
          <w:color w:val="000000"/>
          <w:sz w:val="20"/>
          <w:szCs w:val="20"/>
        </w:rPr>
      </w:pPr>
    </w:p>
    <w:p w14:paraId="1FCB10CB" w14:textId="0F8D2964" w:rsidR="00640082" w:rsidRPr="0037145C" w:rsidRDefault="00640082" w:rsidP="00043D40">
      <w:pPr>
        <w:pStyle w:val="ListParagraph"/>
        <w:numPr>
          <w:ilvl w:val="3"/>
          <w:numId w:val="10"/>
        </w:numPr>
        <w:spacing w:line="240" w:lineRule="auto"/>
        <w:ind w:left="709"/>
        <w:rPr>
          <w:rFonts w:ascii="Times New Roman" w:hAnsi="Times New Roman" w:cs="Times New Roman"/>
          <w:b/>
          <w:bCs/>
          <w:sz w:val="24"/>
          <w:szCs w:val="24"/>
          <w:lang w:val="en-US"/>
        </w:rPr>
      </w:pPr>
      <w:r w:rsidRPr="0037145C">
        <w:rPr>
          <w:rFonts w:ascii="Times New Roman" w:hAnsi="Times New Roman" w:cs="Times New Roman"/>
          <w:b/>
          <w:bCs/>
          <w:sz w:val="24"/>
          <w:szCs w:val="24"/>
          <w:lang w:val="en-US"/>
        </w:rPr>
        <w:t xml:space="preserve">Methods </w:t>
      </w:r>
    </w:p>
    <w:p w14:paraId="4C4FFD02" w14:textId="77777777" w:rsidR="00640082" w:rsidRDefault="00640082" w:rsidP="00E36892">
      <w:pPr>
        <w:spacing w:line="240" w:lineRule="auto"/>
        <w:ind w:left="717" w:firstLine="363"/>
        <w:rPr>
          <w:rFonts w:ascii="Times New Roman" w:hAnsi="Times New Roman" w:cs="Times New Roman"/>
          <w:sz w:val="20"/>
          <w:szCs w:val="20"/>
          <w:lang w:val="en-US"/>
        </w:rPr>
      </w:pPr>
      <w:r w:rsidRPr="0037145C">
        <w:rPr>
          <w:rFonts w:ascii="Times New Roman" w:hAnsi="Times New Roman" w:cs="Times New Roman"/>
          <w:sz w:val="20"/>
          <w:szCs w:val="20"/>
          <w:lang w:val="en-US"/>
        </w:rPr>
        <w:t>This study employs a qualitative analytical approach to investigate the strategic use of AI in China’s authoritarian governance, focusing on its application in political communication and social control. Primary data sources include policy documents such as the 2017 New Generation AI Development Plan (NGAIDP) and government-issued reports, which provide insights into the strategic priorities and regulatory frameworks underpinning China’s AI deployment. To comprehend how AI techno</w:t>
      </w:r>
      <w:r>
        <w:rPr>
          <w:rFonts w:ascii="Times New Roman" w:hAnsi="Times New Roman" w:cs="Times New Roman"/>
          <w:sz w:val="20"/>
          <w:szCs w:val="20"/>
          <w:lang w:val="en-US"/>
        </w:rPr>
        <w:t>lo</w:t>
      </w:r>
      <w:r w:rsidRPr="0037145C">
        <w:rPr>
          <w:rFonts w:ascii="Times New Roman" w:hAnsi="Times New Roman" w:cs="Times New Roman"/>
          <w:sz w:val="20"/>
          <w:szCs w:val="20"/>
          <w:lang w:val="en-US"/>
        </w:rPr>
        <w:t>gies are practically integrated, data was gathered from official publication, government announcements</w:t>
      </w:r>
      <w:r>
        <w:rPr>
          <w:rFonts w:ascii="Times New Roman" w:hAnsi="Times New Roman" w:cs="Times New Roman"/>
          <w:sz w:val="20"/>
          <w:szCs w:val="20"/>
          <w:lang w:val="en-US"/>
        </w:rPr>
        <w:t xml:space="preserve">, and technological assessments. Secondary sources include reports from news agencies, think tanks, and scholarly articles that analyze China’s digital governance infrastructure and AI-driven systems. These sources were systematically coded and analyzed to identify recurring themes and patterns of state control through AI, as seen in the widespread use of surveillance technologies like facial recognition and the comprehensive social credit system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ZOTERO_ITEM CSL_CITATION {"citationID":"GWoHUiEW","properties":{"formattedCitation":"(Khanal et al., 2024)","plainCitation":"(Khanal et al., 2024)","noteIndex":0},"citationItems":[{"id":900,"uris":["http://zotero.org/users/local/MvyTXXMq/items/YBU2BR4K"],"itemData":{"id":900,"type":"article-journal","container-title":"Journal of Contemporary China","DOI":"https://doi.org/10.1080/10670564.2024.2333492","page":"1-24","title":"Development of New Generation of Artificial Intelligence in China: When Beijing's Global Ambitions Meet Local Realities","author":[{"family":"Khanal","given":"S."},{"family":"Zhang","given":"H."},{"family":"Taeihagh","given":"A."}],"issued":{"date-parts":[["2024"]]}}}],"schema":"https://github.com/citation-style-language/schema/raw/master/csl-citation.json"} </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(Khanal et al., 2024)</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p>
    <w:p w14:paraId="33AA1796" w14:textId="77777777" w:rsidR="00640082" w:rsidRDefault="00640082" w:rsidP="00E36892">
      <w:pPr>
        <w:spacing w:line="240" w:lineRule="auto"/>
        <w:ind w:left="717" w:firstLine="363"/>
        <w:rPr>
          <w:rFonts w:ascii="Times New Roman" w:hAnsi="Times New Roman" w:cs="Times New Roman"/>
          <w:sz w:val="20"/>
          <w:szCs w:val="20"/>
          <w:lang w:val="en-US"/>
        </w:rPr>
      </w:pPr>
      <w:r>
        <w:rPr>
          <w:rFonts w:ascii="Times New Roman" w:hAnsi="Times New Roman" w:cs="Times New Roman"/>
          <w:sz w:val="20"/>
          <w:szCs w:val="20"/>
          <w:lang w:val="en-US"/>
        </w:rPr>
        <w:t xml:space="preserve">The research also included an in-depth analysis of digital platforms such as the Xue Xi Qiang Guo app. Data regarding its deployment and functionality was extracted from academic analyses and media reports that detail its usage for propagating Xi Jinping Thought among party members. This involved examining reports on the app’s integration with natural language processing tools and its capabilities to produce ideological content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ZOTERO_ITEM CSL_CITATION {"citationID":"I6agULro","properties":{"formattedCitation":"(Lams, 2018)","plainCitation":"(Lams, 2018)","noteIndex":0},"citationItems":[{"id":901,"uris":["http://zotero.org/users/local/MvyTXXMq/items/XAP77FMA"],"itemData":{"id":901,"type":"article-journal","container-title":"Journal of Chinese Political Science","DOI":"https://doi.org/10.1007/s11366-018-9529-8","issue":"3","page":"387-411","title":"Examining strategic narratives in Chinese official discourse under Xi Jinping.","volume":"23","author":[{"family":"Lams","given":"L."}],"issued":{"date-parts":[["2018"]]}}}],"schema":"https://github.com/citation-style-language/schema/raw/master/csl-citation.json"} </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(Lams, 2018)</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Additionally, the study incorporated qualitative assessments of China’s surveillance practices in regions like Xinjiang, where data on biometrics and behavioral tracking technologies were reviewed to illustrate their operational mechanisms and societal impact. Comparative data from other authoritarian regimes, such as Russia and Iran, were analyzed to underscore the global relevance of AI-enabled political control. The thematic coding approach enabled the identification of cross-national strategies in AI application for narrative management and citizen surveillance, shedding light on commonalities and differences in their digital authoritarian practices. </w:t>
      </w:r>
    </w:p>
    <w:p w14:paraId="1F579183" w14:textId="77777777" w:rsidR="00640082" w:rsidRPr="0037145C" w:rsidRDefault="00640082" w:rsidP="00E36892">
      <w:pPr>
        <w:spacing w:line="240" w:lineRule="auto"/>
        <w:ind w:left="717" w:firstLine="363"/>
        <w:rPr>
          <w:rFonts w:ascii="Times New Roman" w:hAnsi="Times New Roman" w:cs="Times New Roman"/>
          <w:sz w:val="20"/>
          <w:szCs w:val="20"/>
          <w:lang w:val="en-US"/>
        </w:rPr>
      </w:pPr>
      <w:r w:rsidRPr="00E52FBA">
        <w:rPr>
          <w:rFonts w:ascii="Times New Roman" w:hAnsi="Times New Roman" w:cs="Times New Roman"/>
          <w:sz w:val="20"/>
          <w:szCs w:val="20"/>
          <w:lang w:val="en-US"/>
        </w:rPr>
        <w:t>Comparative data from other authoritarian regimes, such as Russia and Iran, were analyzed to underscore the global relevance of AI-enabled political control. The thematic coding approach enabled the identification of cross-national strategies in AI application for narrative management and citizen surveillance, shedding light on commonalities and differences in their digital authoritarian practices. By systematically analyzing the data, this study aims to provide a comprehensive understanding of the implications of AI in shaping political communication and social control within authoritarian contexts.</w:t>
      </w:r>
    </w:p>
    <w:p w14:paraId="7D761505" w14:textId="6CBF866A" w:rsidR="00640082" w:rsidRPr="0037145C" w:rsidRDefault="00640082" w:rsidP="00043D40">
      <w:pPr>
        <w:pStyle w:val="ListParagraph"/>
        <w:numPr>
          <w:ilvl w:val="3"/>
          <w:numId w:val="10"/>
        </w:numPr>
        <w:spacing w:line="240" w:lineRule="auto"/>
        <w:ind w:left="709"/>
        <w:rPr>
          <w:rFonts w:ascii="Times New Roman" w:hAnsi="Times New Roman" w:cs="Times New Roman"/>
          <w:b/>
          <w:bCs/>
          <w:sz w:val="24"/>
          <w:szCs w:val="24"/>
          <w:lang w:val="en-US"/>
        </w:rPr>
      </w:pPr>
      <w:r w:rsidRPr="0037145C">
        <w:rPr>
          <w:rFonts w:ascii="Times New Roman" w:hAnsi="Times New Roman" w:cs="Times New Roman"/>
          <w:b/>
          <w:bCs/>
          <w:sz w:val="24"/>
          <w:szCs w:val="24"/>
          <w:lang w:val="en-US"/>
        </w:rPr>
        <w:t xml:space="preserve">Result and Discussion </w:t>
      </w:r>
    </w:p>
    <w:p w14:paraId="36115721" w14:textId="77777777" w:rsidR="00640082" w:rsidRDefault="00640082" w:rsidP="00E1677F">
      <w:pPr>
        <w:pStyle w:val="NormalWeb"/>
        <w:spacing w:before="0" w:beforeAutospacing="0" w:after="0" w:afterAutospacing="0"/>
        <w:ind w:left="717"/>
        <w:jc w:val="both"/>
        <w:rPr>
          <w:b/>
          <w:bCs/>
          <w:color w:val="000000"/>
          <w:sz w:val="20"/>
          <w:szCs w:val="20"/>
        </w:rPr>
      </w:pPr>
      <w:r>
        <w:rPr>
          <w:b/>
          <w:bCs/>
          <w:color w:val="000000"/>
          <w:sz w:val="20"/>
          <w:szCs w:val="20"/>
        </w:rPr>
        <w:t>Key Findings on AI’s Role in China’s Political Communication</w:t>
      </w:r>
    </w:p>
    <w:p w14:paraId="52485FA2"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The analysis of AI application in China’s political communication highlights how deeply embedded these technologies have become in state mechanisms for surveillance and control. Advanced AI-powered systems, such as facial recognition and big data analytics, have reshaped the way the Chinese government monitors its population, significantly impacting citizens’ rights to privacy and freedom of expression. The deployment of these surveillance tools facilitates extensive data collection from various sources, including vast CCTV networks, mobile applications, and traditional government records </w:t>
      </w:r>
      <w:r>
        <w:rPr>
          <w:color w:val="000000"/>
          <w:sz w:val="20"/>
          <w:szCs w:val="20"/>
        </w:rPr>
        <w:fldChar w:fldCharType="begin"/>
      </w:r>
      <w:r>
        <w:rPr>
          <w:color w:val="000000"/>
          <w:sz w:val="20"/>
          <w:szCs w:val="20"/>
        </w:rPr>
        <w:instrText xml:space="preserve"> ADDIN ZOTERO_ITEM CSL_CITATION {"citationID":"esHc0VPP","properties":{"formattedCitation":"(Yang &amp; Yuchtman, 2022)","plainCitation":"(Yang &amp; Yuchtman, 2022)","noteIndex":0},"citationItems":[{"id":902,"uris":["http://zotero.org/users/local/MvyTXXMq/items/WQPFQET2"],"itemData":{"id":902,"type":"post","container-title":"Big Data China","genre":"Feature","title":"Artificial Intelligence and the U.S.-China Relationship","URL":"https://bigdatachina.csis.org/the-ai-surveillance-symbiosis-in-china/","author":[{"family":"Yang","given":"D."},{"family":"Yuchtman","given":"N."}],"issued":{"date-parts":[["2022",7,27]]}}}],"schema":"https://github.com/citation-style-language/schema/raw/master/csl-citation.json"} </w:instrText>
      </w:r>
      <w:r>
        <w:rPr>
          <w:color w:val="000000"/>
          <w:sz w:val="20"/>
          <w:szCs w:val="20"/>
        </w:rPr>
        <w:fldChar w:fldCharType="separate"/>
      </w:r>
      <w:r>
        <w:rPr>
          <w:noProof/>
          <w:color w:val="000000"/>
          <w:sz w:val="20"/>
          <w:szCs w:val="20"/>
        </w:rPr>
        <w:t>(Yang &amp; Yuchtman, 2022)</w:t>
      </w:r>
      <w:r>
        <w:rPr>
          <w:color w:val="000000"/>
          <w:sz w:val="20"/>
          <w:szCs w:val="20"/>
        </w:rPr>
        <w:fldChar w:fldCharType="end"/>
      </w:r>
      <w:r>
        <w:rPr>
          <w:color w:val="000000"/>
          <w:sz w:val="20"/>
          <w:szCs w:val="20"/>
        </w:rPr>
        <w:t xml:space="preserve">. This level of monitoring not only enhances the state’s ability to track individual behaviors but also extends its reach into every face of public and private life. The absence of explicit consent in data collection practices raises serious ethical and human rights concerns, as it infringes upon basic privacy rights and paves the way for disproportionate monitoring and punitive measures. </w:t>
      </w:r>
    </w:p>
    <w:p w14:paraId="3D89B11A"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One of the most significant examples of AI integration is China’s Credit System, which underscores the state’s sophisticated approach to behavioral regulation. This system assigns citizens a social score based on their activities, interactions, and adherence to laws and social norms. Those with high scores and rewarded with privileges such as improved access to credit, better employment opportunities, and preferential treatment in services, creating an incentive structure that encourages compliance with state directives. Conversely, individuals with low scores face penalties, including restricted mobility, exclusion from certain services, and even public shaming </w:t>
      </w:r>
      <w:r>
        <w:rPr>
          <w:color w:val="000000"/>
          <w:sz w:val="20"/>
          <w:szCs w:val="20"/>
        </w:rPr>
        <w:fldChar w:fldCharType="begin"/>
      </w:r>
      <w:r>
        <w:rPr>
          <w:color w:val="000000"/>
          <w:sz w:val="20"/>
          <w:szCs w:val="20"/>
        </w:rPr>
        <w:instrText xml:space="preserve"> ADDIN ZOTERO_ITEM CSL_CITATION {"citationID":"bA4Xz7t7","properties":{"formattedCitation":"(Khanal et al., 2024)","plainCitation":"(Khanal et al., 2024)","noteIndex":0},"citationItems":[{"id":900,"uris":["http://zotero.org/users/local/MvyTXXMq/items/YBU2BR4K"],"itemData":{"id":900,"type":"article-journal","container-title":"Journal of Contemporary China","DOI":"https://doi.org/10.1080/10670564.2024.2333492","page":"1-24","title":"Development of New Generation of Artificial Intelligence in China: When Beijing's Global Ambitions Meet Local Realities","author":[{"family":"Khanal","given":"S."},{"family":"Zhang","given":"H."},{"family":"Taeihagh","given":"A."}],"issued":{"date-parts":[["2024"]]}}}],"schema":"https://github.com/citation-style-language/schema/raw/master/csl-citation.json"} </w:instrText>
      </w:r>
      <w:r>
        <w:rPr>
          <w:color w:val="000000"/>
          <w:sz w:val="20"/>
          <w:szCs w:val="20"/>
        </w:rPr>
        <w:fldChar w:fldCharType="separate"/>
      </w:r>
      <w:r>
        <w:rPr>
          <w:noProof/>
          <w:color w:val="000000"/>
          <w:sz w:val="20"/>
          <w:szCs w:val="20"/>
        </w:rPr>
        <w:t>(Khanal et al., 2024)</w:t>
      </w:r>
      <w:r>
        <w:rPr>
          <w:color w:val="000000"/>
          <w:sz w:val="20"/>
          <w:szCs w:val="20"/>
        </w:rPr>
        <w:fldChar w:fldCharType="end"/>
      </w:r>
      <w:r>
        <w:rPr>
          <w:color w:val="000000"/>
          <w:sz w:val="20"/>
          <w:szCs w:val="20"/>
        </w:rPr>
        <w:t xml:space="preserve">. This AI-driven system not only reinforces social control but also fosters a climate of fear and self-censorship, as citizens become wary of behaviors that could negatively impact their standing. </w:t>
      </w:r>
    </w:p>
    <w:p w14:paraId="665C17D2"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The strategic use of such AI technologies illustrates how the Chinese government prioritizes maintaining political control over safeguarding individual rights. This emphasis on technological dominance is evident in the way these systems are woven into everyday governance, supporting a larger framework of state oversight and influence. By combining data from a variety of sources -ranging from online behavior and social media activity to physical surveillance-the government can create comprehensive profiles of its citizens. This robust data integration allows for real-time decision-making and predictive policing, enabling authorities to intervene swiftly in potential dissent or unrest. The extensive reach of these practices not only impacts individual liberties but also exacerbates social inequalities, as algorithmic biases can lead to disproportionate targeting of specific groups or behaviors.</w:t>
      </w:r>
    </w:p>
    <w:p w14:paraId="760ACA46" w14:textId="77777777" w:rsidR="00640082" w:rsidRPr="00F97D7F"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Furthermore, the potential for algorithmic bias inherent in AI systems adds a layer of complexity to these issues. The algorithms used in surveillance technologies may reflect and amplify existing societal prejudices if not properly designed and tested with diverse datasets. This can result in discriminatory practices that disproportionately impact certain demographics, deepening social divides and reducing trust in state institutions. The increasing reliance on AI for governance thus underscores the dual-edged nature of technological progress: while it can enhance administrative efficiency and control, it also poses profound ethical dilemmas and risks to civil liberties. </w:t>
      </w:r>
    </w:p>
    <w:p w14:paraId="16FECA5B" w14:textId="77777777" w:rsidR="00640082" w:rsidRDefault="00640082" w:rsidP="00E1677F">
      <w:pPr>
        <w:pStyle w:val="NormalWeb"/>
        <w:spacing w:before="0" w:beforeAutospacing="0" w:after="0" w:afterAutospacing="0"/>
        <w:ind w:left="717"/>
        <w:jc w:val="both"/>
        <w:rPr>
          <w:b/>
          <w:bCs/>
          <w:color w:val="000000"/>
          <w:sz w:val="20"/>
          <w:szCs w:val="20"/>
        </w:rPr>
      </w:pPr>
    </w:p>
    <w:p w14:paraId="47A5C054" w14:textId="77777777" w:rsidR="00640082" w:rsidRDefault="00640082" w:rsidP="000F160F">
      <w:pPr>
        <w:pStyle w:val="NormalWeb"/>
        <w:spacing w:before="0" w:beforeAutospacing="0" w:after="0" w:afterAutospacing="0"/>
        <w:ind w:left="717"/>
        <w:jc w:val="both"/>
        <w:rPr>
          <w:b/>
          <w:bCs/>
          <w:color w:val="000000"/>
          <w:sz w:val="20"/>
          <w:szCs w:val="20"/>
        </w:rPr>
      </w:pPr>
      <w:r>
        <w:rPr>
          <w:b/>
          <w:bCs/>
          <w:color w:val="000000"/>
          <w:sz w:val="20"/>
          <w:szCs w:val="20"/>
        </w:rPr>
        <w:t>Advanced Surveillance and Social Control Mechanisms</w:t>
      </w:r>
    </w:p>
    <w:p w14:paraId="3CD023FE" w14:textId="77777777" w:rsidR="00640082" w:rsidRDefault="00640082" w:rsidP="000F160F">
      <w:pPr>
        <w:pStyle w:val="NormalWeb"/>
        <w:spacing w:before="0" w:beforeAutospacing="0" w:after="0" w:afterAutospacing="0"/>
        <w:ind w:left="720" w:firstLine="720"/>
        <w:jc w:val="both"/>
        <w:rPr>
          <w:color w:val="000000"/>
          <w:sz w:val="20"/>
          <w:szCs w:val="20"/>
        </w:rPr>
      </w:pPr>
      <w:r>
        <w:rPr>
          <w:color w:val="000000"/>
          <w:sz w:val="20"/>
          <w:szCs w:val="20"/>
        </w:rPr>
        <w:t xml:space="preserve">AI technologies in China play a crucial role not only in maintaining public security but also in reinforcing comprehensive social and political control. Facial recognition systems forms the backbone of this surveillance network, embedded in more than 200 million CCTV cameras across the country to facilitate real-time identification and the tracking of individuals’ movements in urban spaces </w:t>
      </w:r>
      <w:r>
        <w:rPr>
          <w:color w:val="000000"/>
          <w:sz w:val="20"/>
          <w:szCs w:val="20"/>
        </w:rPr>
        <w:fldChar w:fldCharType="begin"/>
      </w:r>
      <w:r>
        <w:rPr>
          <w:color w:val="000000"/>
          <w:sz w:val="20"/>
          <w:szCs w:val="20"/>
        </w:rPr>
        <w:instrText xml:space="preserve"> ADDIN ZOTERO_ITEM CSL_CITATION {"citationID":"8plcb3H0","properties":{"formattedCitation":"(Ezzat et al., 2021)","plainCitation":"(Ezzat et al., 2021)","noteIndex":0},"citationItems":[{"id":903,"uris":["http://zotero.org/users/local/MvyTXXMq/items/9YQWJKVL"],"itemData":{"id":903,"type":"article-journal","container-title":"Sensors","issue":"9","page":"3222","title":"Horizontal review on video surveillance for smart cities: Edge devices, applications, datasets, and future trends","volume":"21","author":[{"family":"Ezzat","given":"M. A."},{"family":"Almotairi","given":"S."},{"family":"Salem","given":"M. A. M."}],"issued":{"date-parts":[["2021"]]}}}],"schema":"https://github.com/citation-style-language/schema/raw/master/csl-citation.json"} </w:instrText>
      </w:r>
      <w:r>
        <w:rPr>
          <w:color w:val="000000"/>
          <w:sz w:val="20"/>
          <w:szCs w:val="20"/>
        </w:rPr>
        <w:fldChar w:fldCharType="separate"/>
      </w:r>
      <w:r>
        <w:rPr>
          <w:noProof/>
          <w:color w:val="000000"/>
          <w:sz w:val="20"/>
          <w:szCs w:val="20"/>
        </w:rPr>
        <w:t>(Ezzat et al., 2021)</w:t>
      </w:r>
      <w:r>
        <w:rPr>
          <w:color w:val="000000"/>
          <w:sz w:val="20"/>
          <w:szCs w:val="20"/>
        </w:rPr>
        <w:fldChar w:fldCharType="end"/>
      </w:r>
      <w:r>
        <w:rPr>
          <w:color w:val="000000"/>
          <w:sz w:val="20"/>
          <w:szCs w:val="20"/>
        </w:rPr>
        <w:t xml:space="preserve">. This extensive deployment allows authorities to observe activities at an unprecedented scale, from public streets and transportation hubs to places of work and commerce. The integration of this technology ensures that individuals remain under continuous scrutiny, contributing to an environment where freedom of expression and public dissent are substantially curtailed. Citizens, aware of the ever-present surveillance, may self-censor their actions and words, effectively stifling open dialogue and limiting civic engagement. </w:t>
      </w:r>
    </w:p>
    <w:p w14:paraId="18019A12" w14:textId="77777777" w:rsidR="00640082" w:rsidRDefault="00640082" w:rsidP="000F160F">
      <w:pPr>
        <w:pStyle w:val="NormalWeb"/>
        <w:spacing w:before="0" w:beforeAutospacing="0" w:after="0" w:afterAutospacing="0"/>
        <w:ind w:left="720" w:firstLine="720"/>
        <w:jc w:val="both"/>
        <w:rPr>
          <w:color w:val="000000"/>
          <w:sz w:val="20"/>
          <w:szCs w:val="20"/>
        </w:rPr>
      </w:pPr>
      <w:r>
        <w:rPr>
          <w:color w:val="000000"/>
          <w:sz w:val="20"/>
          <w:szCs w:val="20"/>
        </w:rPr>
        <w:t xml:space="preserve">In addition to facial recognition, China’s surveillance architecture is enhanced by technologies such as voice recognition and gait analysis. Voice recognition capabilities enable the government to monitor phone conversations, track voices across media, and identify individuals speaking in public or over digital platforms. Gait analysis adds another layer of identification, allowing authorities to recognize individuals even when facial visibility is compromised or obscured. These tools collectively create a multi-layered surveillance structure that extends the state’s ability to maintain control over its populace by anticipating and suppressing dissent before it manifests openly. This type of proactive surveillance discourages individuals from participating in activities that could be perceived as subversive, reinforcing the state’s authority and limiting public space for resistance or criticism. </w:t>
      </w:r>
    </w:p>
    <w:p w14:paraId="1080735E" w14:textId="77777777" w:rsidR="00640082" w:rsidRDefault="00640082" w:rsidP="000F160F">
      <w:pPr>
        <w:pStyle w:val="NormalWeb"/>
        <w:spacing w:before="0" w:beforeAutospacing="0" w:after="0" w:afterAutospacing="0"/>
        <w:ind w:left="720" w:firstLine="720"/>
        <w:jc w:val="both"/>
        <w:rPr>
          <w:color w:val="000000"/>
          <w:sz w:val="20"/>
          <w:szCs w:val="20"/>
        </w:rPr>
      </w:pPr>
      <w:r>
        <w:rPr>
          <w:color w:val="000000"/>
          <w:sz w:val="20"/>
          <w:szCs w:val="20"/>
        </w:rPr>
        <w:t xml:space="preserve">The application of AI technologies in politically sensitive areas such as Xinjiang exemplifies the Chinese government’s strategic use of surveillance for targeted ethnic and regional control. In this region, surveillance measures are intensified to monitor the movements and behaviors of the Uyghur Muslim population and other minority groups. The use of predictive policing in Xinjiang, which employs machine learning algorithms to identify potential security threats, showcases the extent of AI’s role in preemptive governance. Automated alert systems, which flag activities deemed suspicious or potentially disruptive, enable rapid response by security forces and dissuade residents from engaging in behaviors that might be construed as dissent. These technologies are not only reactive but predictive, reinforcing a pervasive sense of being watched and effectively silencing opposition before it can take shape </w:t>
      </w:r>
      <w:r>
        <w:rPr>
          <w:color w:val="000000"/>
          <w:sz w:val="20"/>
          <w:szCs w:val="20"/>
        </w:rPr>
        <w:fldChar w:fldCharType="begin"/>
      </w:r>
      <w:r>
        <w:rPr>
          <w:color w:val="000000"/>
          <w:sz w:val="20"/>
          <w:szCs w:val="20"/>
        </w:rPr>
        <w:instrText xml:space="preserve"> ADDIN ZOTERO_ITEM CSL_CITATION {"citationID":"ky0YsFt3","properties":{"formattedCitation":"(Morrison, 2016)","plainCitation":"(Morrison, 2016)","noteIndex":0},"citationItems":[{"id":904,"uris":["http://zotero.org/users/local/MvyTXXMq/items/YTDJ4QXN"],"itemData":{"id":904,"type":"book","event-place":"Michigan","publisher":"University of Michigan Press","publisher-place":"Michigan","title":"Discipline and Desire: Surveillance Technologies in Performance","author":[{"family":"Morrison","given":"E."}],"issued":{"date-parts":[["2016"]]}}}],"schema":"https://github.com/citation-style-language/schema/raw/master/csl-citation.json"} </w:instrText>
      </w:r>
      <w:r>
        <w:rPr>
          <w:color w:val="000000"/>
          <w:sz w:val="20"/>
          <w:szCs w:val="20"/>
        </w:rPr>
        <w:fldChar w:fldCharType="separate"/>
      </w:r>
      <w:r>
        <w:rPr>
          <w:noProof/>
          <w:color w:val="000000"/>
          <w:sz w:val="20"/>
          <w:szCs w:val="20"/>
        </w:rPr>
        <w:t>(Morrison, 2016)</w:t>
      </w:r>
      <w:r>
        <w:rPr>
          <w:color w:val="000000"/>
          <w:sz w:val="20"/>
          <w:szCs w:val="20"/>
        </w:rPr>
        <w:fldChar w:fldCharType="end"/>
      </w:r>
      <w:r>
        <w:rPr>
          <w:color w:val="000000"/>
          <w:sz w:val="20"/>
          <w:szCs w:val="20"/>
        </w:rPr>
        <w:t xml:space="preserve">. </w:t>
      </w:r>
    </w:p>
    <w:p w14:paraId="2AD693EC" w14:textId="77777777" w:rsidR="00640082" w:rsidRDefault="00640082" w:rsidP="000F160F">
      <w:pPr>
        <w:pStyle w:val="NormalWeb"/>
        <w:spacing w:before="0" w:beforeAutospacing="0" w:after="0" w:afterAutospacing="0"/>
        <w:ind w:left="720" w:firstLine="720"/>
        <w:jc w:val="both"/>
        <w:rPr>
          <w:color w:val="000000"/>
          <w:sz w:val="20"/>
          <w:szCs w:val="20"/>
        </w:rPr>
      </w:pPr>
      <w:r>
        <w:rPr>
          <w:color w:val="000000"/>
          <w:sz w:val="20"/>
          <w:szCs w:val="20"/>
        </w:rPr>
        <w:t xml:space="preserve">The implications of these AI-driven surveillance measures extend beyond Xinjiang and resonate throughout the broader fabric of Chinese society. The widespread use of predictive policing and automated alert systems empowers authorities to preemptively manage public protests and spontaneous gatherings, ensuring that dissent is systematically controlled. This capacity for anticipatory action strengthens the regime’s grip on power by normalizing state intervention in public and private life. The psychological impact of living under constant surveillance fosters an atmosphere of compliance and submission, where individuals are less likely to voice discontent or organize collective actions. The resulting social climate is one where surveillance and control are deeply interwoven into the daily experiences of citizens, blurring the line between public safety and state repression. </w:t>
      </w:r>
    </w:p>
    <w:p w14:paraId="04F5961C" w14:textId="77777777" w:rsidR="00640082" w:rsidRDefault="00640082" w:rsidP="000F160F">
      <w:pPr>
        <w:pStyle w:val="NormalWeb"/>
        <w:spacing w:before="0" w:beforeAutospacing="0" w:after="0" w:afterAutospacing="0"/>
        <w:ind w:left="717"/>
        <w:jc w:val="both"/>
        <w:rPr>
          <w:b/>
          <w:bCs/>
          <w:color w:val="000000"/>
          <w:sz w:val="20"/>
          <w:szCs w:val="20"/>
        </w:rPr>
      </w:pPr>
    </w:p>
    <w:p w14:paraId="5C8C6DB0" w14:textId="77777777" w:rsidR="00640082" w:rsidRDefault="00640082" w:rsidP="0045350F">
      <w:pPr>
        <w:pStyle w:val="NormalWeb"/>
        <w:spacing w:before="0" w:beforeAutospacing="0" w:after="0" w:afterAutospacing="0"/>
        <w:ind w:left="717"/>
        <w:jc w:val="both"/>
        <w:rPr>
          <w:b/>
          <w:bCs/>
          <w:color w:val="000000"/>
          <w:sz w:val="20"/>
          <w:szCs w:val="20"/>
        </w:rPr>
      </w:pPr>
      <w:r>
        <w:rPr>
          <w:b/>
          <w:bCs/>
          <w:color w:val="000000"/>
          <w:sz w:val="20"/>
          <w:szCs w:val="20"/>
        </w:rPr>
        <w:t>Ideological Dissemination Through AI Tools</w:t>
      </w:r>
    </w:p>
    <w:p w14:paraId="1258D7A6" w14:textId="77777777" w:rsidR="00640082" w:rsidRDefault="00640082" w:rsidP="0045350F">
      <w:pPr>
        <w:pStyle w:val="NormalWeb"/>
        <w:spacing w:before="0" w:beforeAutospacing="0" w:after="0" w:afterAutospacing="0"/>
        <w:ind w:left="720" w:firstLine="720"/>
        <w:jc w:val="both"/>
        <w:rPr>
          <w:color w:val="000000"/>
          <w:sz w:val="20"/>
          <w:szCs w:val="20"/>
        </w:rPr>
      </w:pPr>
      <w:r>
        <w:rPr>
          <w:color w:val="000000"/>
          <w:sz w:val="20"/>
          <w:szCs w:val="20"/>
        </w:rPr>
        <w:t xml:space="preserve">The strategic use of AI for ideological dissemination represents a powerful extension of the Chinese government’s control mechanisms beyond physical and digital surveillance into the sphere of thought and belief. The Xue Xi Qiang Guo app is a leading example of how AI-driven platforms are being harnessed to entrench political ideology within the daily routines of citizens. Introduced as part of a broader campaign to embed “Xi Jinping Thought” -a doctrine emphasizing loyalty to the Chinese Communist Party and national rejuvenations- into public consciousness, the app utilizes interactive educational modules, quizzes, and articles to promote state-approved narratives </w:t>
      </w:r>
      <w:r>
        <w:rPr>
          <w:color w:val="000000"/>
          <w:sz w:val="20"/>
          <w:szCs w:val="20"/>
        </w:rPr>
        <w:fldChar w:fldCharType="begin"/>
      </w:r>
      <w:r>
        <w:rPr>
          <w:color w:val="000000"/>
          <w:sz w:val="20"/>
          <w:szCs w:val="20"/>
        </w:rPr>
        <w:instrText xml:space="preserve"> ADDIN ZOTERO_ITEM CSL_CITATION {"citationID":"uD1Jqa4y","properties":{"formattedCitation":"(Vuori, 2024)","plainCitation":"(Vuori, 2024)","noteIndex":0},"citationItems":[{"id":905,"uris":["http://zotero.org/users/local/MvyTXXMq/items/QF4G3XY7"],"itemData":{"id":905,"type":"book","collection-title":"Routledge New Security Studies","event-place":"New York, NY.","publisher":"Routledge","publisher-place":"New York, NY.","title":"Chinese Macrosecuritization: China's Alignment in Global Security Discourses","author":[{"family":"Vuori","given":"J.A."}],"issued":{"date-parts":[["2024"]]}}}],"schema":"https://github.com/citation-style-language/schema/raw/master/csl-citation.json"} </w:instrText>
      </w:r>
      <w:r>
        <w:rPr>
          <w:color w:val="000000"/>
          <w:sz w:val="20"/>
          <w:szCs w:val="20"/>
        </w:rPr>
        <w:fldChar w:fldCharType="separate"/>
      </w:r>
      <w:r>
        <w:rPr>
          <w:noProof/>
          <w:color w:val="000000"/>
          <w:sz w:val="20"/>
          <w:szCs w:val="20"/>
        </w:rPr>
        <w:t>(Vuori, 2024)</w:t>
      </w:r>
      <w:r>
        <w:rPr>
          <w:color w:val="000000"/>
          <w:sz w:val="20"/>
          <w:szCs w:val="20"/>
        </w:rPr>
        <w:fldChar w:fldCharType="end"/>
      </w:r>
      <w:r>
        <w:rPr>
          <w:color w:val="000000"/>
          <w:sz w:val="20"/>
          <w:szCs w:val="20"/>
        </w:rPr>
        <w:t xml:space="preserve">. By leveraging natural language processing (NLP) capabilities, the app tailors its content to align with user preferences and engagement patterns, thereby increasing its impact as a tool for ideological indoctrination. </w:t>
      </w:r>
    </w:p>
    <w:p w14:paraId="7555C58E" w14:textId="77777777" w:rsidR="00640082" w:rsidRDefault="00640082" w:rsidP="0045350F">
      <w:pPr>
        <w:pStyle w:val="NormalWeb"/>
        <w:spacing w:before="0" w:beforeAutospacing="0" w:after="0" w:afterAutospacing="0"/>
        <w:ind w:left="720" w:firstLine="720"/>
        <w:jc w:val="both"/>
        <w:rPr>
          <w:color w:val="000000"/>
          <w:sz w:val="20"/>
          <w:szCs w:val="20"/>
        </w:rPr>
      </w:pPr>
      <w:r>
        <w:rPr>
          <w:color w:val="000000"/>
          <w:sz w:val="20"/>
          <w:szCs w:val="20"/>
        </w:rPr>
        <w:t xml:space="preserve">The app’s design promotes a form of digital engagement where users are incentivized through pointes and rewards for consistent use and high scores on quizzes related to party ideology. This gamification of political learning not only encourages voluntary participation but also subtly compels regular use, especially among state employees and party members, who may be mandated to maintain high engagement levels. The sophisticated use of NLP allows the app to adapt to user behavior, presenting personalized content that reinforces desired narratives. Such customization makes the app more appealing and effective in its mission to align public thought with state doctrine. </w:t>
      </w:r>
    </w:p>
    <w:p w14:paraId="7688D903" w14:textId="77777777" w:rsidR="00640082" w:rsidRDefault="00640082" w:rsidP="0045350F">
      <w:pPr>
        <w:pStyle w:val="NormalWeb"/>
        <w:spacing w:before="0" w:beforeAutospacing="0" w:after="0" w:afterAutospacing="0"/>
        <w:ind w:left="720" w:firstLine="720"/>
        <w:jc w:val="both"/>
        <w:rPr>
          <w:color w:val="000000"/>
          <w:sz w:val="20"/>
          <w:szCs w:val="20"/>
        </w:rPr>
      </w:pPr>
      <w:r>
        <w:rPr>
          <w:color w:val="000000"/>
          <w:sz w:val="20"/>
          <w:szCs w:val="20"/>
        </w:rPr>
        <w:t xml:space="preserve">However, the deployment of the Xue Xi Qiang Guo app raises significant concerns about freedom of expression and access to plurality of perspectives. Critics have noted that the app functions as an extension of state propaganda, narrowing the spectrum of information available to the public and reinforcing a singular viewpoint </w:t>
      </w:r>
      <w:r>
        <w:rPr>
          <w:color w:val="000000"/>
          <w:sz w:val="20"/>
          <w:szCs w:val="20"/>
        </w:rPr>
        <w:fldChar w:fldCharType="begin"/>
      </w:r>
      <w:r>
        <w:rPr>
          <w:color w:val="000000"/>
          <w:sz w:val="20"/>
          <w:szCs w:val="20"/>
        </w:rPr>
        <w:instrText xml:space="preserve"> ADDIN ZOTERO_ITEM CSL_CITATION {"citationID":"2pkG0Ari","properties":{"formattedCitation":"(Fallon, 2022)","plainCitation":"(Fallon, 2022)","noteIndex":0},"citationItems":[{"id":906,"uris":["http://zotero.org/users/local/MvyTXXMq/items/6F82NRCN"],"itemData":{"id":906,"type":"book","event-place":"Eugene, OR.","publisher":"Wipf and Stock Publishers","publisher-place":"Eugene, OR.","title":"Propaganda 2.1: Understanding Propaganda in the Digital Age.","author":[{"family":"Fallon","given":"P.K."}],"issued":{"date-parts":[["2022"]]}}}],"schema":"https://github.com/citation-style-language/schema/raw/master/csl-citation.json"} </w:instrText>
      </w:r>
      <w:r>
        <w:rPr>
          <w:color w:val="000000"/>
          <w:sz w:val="20"/>
          <w:szCs w:val="20"/>
        </w:rPr>
        <w:fldChar w:fldCharType="separate"/>
      </w:r>
      <w:r>
        <w:rPr>
          <w:noProof/>
          <w:color w:val="000000"/>
          <w:sz w:val="20"/>
          <w:szCs w:val="20"/>
        </w:rPr>
        <w:t>(Fallon, 2022)</w:t>
      </w:r>
      <w:r>
        <w:rPr>
          <w:color w:val="000000"/>
          <w:sz w:val="20"/>
          <w:szCs w:val="20"/>
        </w:rPr>
        <w:fldChar w:fldCharType="end"/>
      </w:r>
      <w:r>
        <w:rPr>
          <w:color w:val="000000"/>
          <w:sz w:val="20"/>
          <w:szCs w:val="20"/>
        </w:rPr>
        <w:t xml:space="preserve">. By dominating the digital information space with CCP-approved content, the app marginalizes alternative narratives and limits exposure to critical or dissenting voices. This use of AI to reinforce ideological conformity contributes to a media environment where public discourse is heavily skewed toward state-sanctioned positions, eroding the diversity of viewpoints that is essential for robust and healthy debate. </w:t>
      </w:r>
    </w:p>
    <w:p w14:paraId="7AFA2ED0" w14:textId="77777777" w:rsidR="00640082" w:rsidRDefault="00640082" w:rsidP="0045350F">
      <w:pPr>
        <w:pStyle w:val="NormalWeb"/>
        <w:spacing w:before="0" w:beforeAutospacing="0" w:after="0" w:afterAutospacing="0"/>
        <w:ind w:left="720" w:firstLine="720"/>
        <w:jc w:val="both"/>
        <w:rPr>
          <w:color w:val="000000"/>
          <w:sz w:val="20"/>
          <w:szCs w:val="20"/>
        </w:rPr>
      </w:pPr>
      <w:r>
        <w:rPr>
          <w:color w:val="000000"/>
          <w:sz w:val="20"/>
          <w:szCs w:val="20"/>
        </w:rPr>
        <w:t>Moreover, the implications of such a platform extend beyond individual users to broader social and cultural dynamics. The widespread use of the Xue Xi Qiang Guo app exemplifies how AI-driven tools can influence societal norms and expectations. In this context, engaging with state-approved content becomes not just a personal choice but a collective standard that defines loyalty and compliance within communities. The subtle pressure to participate in such digital indoctrination contributes to a homogenization of thought, where deviation from the expected narrative may be viewed with suspicion or lead to social and professional repercussions. The integration of AI into ideological dissemination thus serves to fortify the state’s hold on power by aligning public sentiment and behavior with its objectives, ensuring that the digital ecosystem reflects and amplifies the political values of the CCP.</w:t>
      </w:r>
    </w:p>
    <w:p w14:paraId="6AE2E2F6" w14:textId="77777777" w:rsidR="00640082" w:rsidRDefault="00640082" w:rsidP="0045350F">
      <w:pPr>
        <w:pStyle w:val="NormalWeb"/>
        <w:spacing w:before="0" w:beforeAutospacing="0" w:after="0" w:afterAutospacing="0"/>
        <w:ind w:left="717"/>
        <w:jc w:val="both"/>
        <w:rPr>
          <w:color w:val="000000"/>
          <w:sz w:val="20"/>
          <w:szCs w:val="20"/>
        </w:rPr>
      </w:pPr>
    </w:p>
    <w:p w14:paraId="1D29EBE2" w14:textId="77777777" w:rsidR="00640082" w:rsidRPr="0037145C" w:rsidRDefault="00640082" w:rsidP="0045350F">
      <w:pPr>
        <w:pStyle w:val="NormalWeb"/>
        <w:spacing w:before="0" w:beforeAutospacing="0" w:after="0" w:afterAutospacing="0"/>
        <w:ind w:left="717"/>
        <w:jc w:val="both"/>
        <w:rPr>
          <w:color w:val="000000"/>
          <w:sz w:val="20"/>
          <w:szCs w:val="20"/>
        </w:rPr>
      </w:pPr>
      <w:r>
        <w:rPr>
          <w:b/>
          <w:bCs/>
          <w:color w:val="000000"/>
          <w:sz w:val="20"/>
          <w:szCs w:val="20"/>
        </w:rPr>
        <w:t>Global Implications and Comparative Analysis</w:t>
      </w:r>
    </w:p>
    <w:p w14:paraId="6C4B01F5"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China’s AI strategy has far-reaching implications for global governance and the future trajectory of digital authoritarianism. The exportation of AI surveillance technologies developed in China to other countries indicates that this model is gaining traction among regimes seeking to enhance political stability and control without democratizing. By showcasing its technological prowess and positioning itself as a leader in AI applications for governance, China sets a precedent that challenges international norms regarding digital rights and privacy </w:t>
      </w:r>
      <w:r>
        <w:rPr>
          <w:color w:val="000000"/>
          <w:sz w:val="20"/>
          <w:szCs w:val="20"/>
        </w:rPr>
        <w:fldChar w:fldCharType="begin"/>
      </w:r>
      <w:r>
        <w:rPr>
          <w:color w:val="000000"/>
          <w:sz w:val="20"/>
          <w:szCs w:val="20"/>
        </w:rPr>
        <w:instrText xml:space="preserve"> ADDIN ZOTERO_ITEM CSL_CITATION {"citationID":"VEGmqDcM","properties":{"formattedCitation":"(Jones, 2022)","plainCitation":"(Jones, 2022)","noteIndex":0},"citationItems":[{"id":908,"uris":["http://zotero.org/users/local/MvyTXXMq/items/UZGIPF74"],"itemData":{"id":908,"type":"book","event-place":"Nashville","publisher":"Bombardier Books","publisher-place":"Nashville","title":"When AI Rules the World: China, the US, and the Race to Control a Smart Planet.","author":[{"family":"Jones","given":"H."}],"issued":{"date-parts":[["2022"]]}}}],"schema":"https://github.com/citation-style-language/schema/raw/master/csl-citation.json"} </w:instrText>
      </w:r>
      <w:r>
        <w:rPr>
          <w:color w:val="000000"/>
          <w:sz w:val="20"/>
          <w:szCs w:val="20"/>
        </w:rPr>
        <w:fldChar w:fldCharType="separate"/>
      </w:r>
      <w:r>
        <w:rPr>
          <w:noProof/>
          <w:color w:val="000000"/>
          <w:sz w:val="20"/>
          <w:szCs w:val="20"/>
        </w:rPr>
        <w:t>(Jones, 2022)</w:t>
      </w:r>
      <w:r>
        <w:rPr>
          <w:color w:val="000000"/>
          <w:sz w:val="20"/>
          <w:szCs w:val="20"/>
        </w:rPr>
        <w:fldChar w:fldCharType="end"/>
      </w:r>
      <w:r>
        <w:rPr>
          <w:color w:val="000000"/>
          <w:sz w:val="20"/>
          <w:szCs w:val="20"/>
        </w:rPr>
        <w:t xml:space="preserve">. This export strategy includes the dissemination of surveillance equipment, facial recognition software, and social monitoring platforms to states in Africa, Southeast Asia, and the Middle East, effectively spreading a template of state-centric technological control. </w:t>
      </w:r>
    </w:p>
    <w:p w14:paraId="14971170"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The attractiveness of China’s model lies in its seamless integration of rapid technological development with robust state oversight, offering a comprehensive framework that appeals to nations aiming to modernize without adopting liberal democratic reforms. This blend of technological advancement and political centralization provides a blueprint for “efficient” governance that emphasizes state security over civil liberties. Such practices set concerning precedents for digital rights, as adopting nations may replicate China’s methods, prioritizing political stability and surveillance at the expense of privacy and freedom of expression. As more countries implement these systems, the risk of a global shift towards normalized surveillance and restricted civil liberties becomes more pronounced </w:t>
      </w:r>
      <w:r>
        <w:rPr>
          <w:color w:val="000000"/>
          <w:sz w:val="20"/>
          <w:szCs w:val="20"/>
        </w:rPr>
        <w:fldChar w:fldCharType="begin"/>
      </w:r>
      <w:r>
        <w:rPr>
          <w:color w:val="000000"/>
          <w:sz w:val="20"/>
          <w:szCs w:val="20"/>
        </w:rPr>
        <w:instrText xml:space="preserve"> ADDIN ZOTERO_ITEM CSL_CITATION {"citationID":"Cm4LcBG4","properties":{"formattedCitation":"(Kitchin, 2020)","plainCitation":"(Kitchin, 2020)","noteIndex":0},"citationItems":[{"id":909,"uris":["http://zotero.org/users/local/MvyTXXMq/items/LQ297NG9"],"itemData":{"id":909,"type":"article-journal","container-title":"Space and Polity","issue":"3","page":"362-381","title":"Civil liberties or public health, or civil liberties and public health? Using surveillance technologies to tackle the spread of COVID-19.","volume":"24","author":[{"family":"Kitchin","given":"R."}],"issued":{"date-parts":[["2020"]]}}}],"schema":"https://github.com/citation-style-language/schema/raw/master/csl-citation.json"} </w:instrText>
      </w:r>
      <w:r>
        <w:rPr>
          <w:color w:val="000000"/>
          <w:sz w:val="20"/>
          <w:szCs w:val="20"/>
        </w:rPr>
        <w:fldChar w:fldCharType="separate"/>
      </w:r>
      <w:r>
        <w:rPr>
          <w:noProof/>
          <w:color w:val="000000"/>
          <w:sz w:val="20"/>
          <w:szCs w:val="20"/>
        </w:rPr>
        <w:t>(Kitchin, 2020)</w:t>
      </w:r>
      <w:r>
        <w:rPr>
          <w:color w:val="000000"/>
          <w:sz w:val="20"/>
          <w:szCs w:val="20"/>
        </w:rPr>
        <w:fldChar w:fldCharType="end"/>
      </w:r>
      <w:r>
        <w:rPr>
          <w:color w:val="000000"/>
          <w:sz w:val="20"/>
          <w:szCs w:val="20"/>
        </w:rPr>
        <w:t xml:space="preserve">. </w:t>
      </w:r>
    </w:p>
    <w:p w14:paraId="0284ABDD"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A comparative analysis of other authoritarian regimes, such as Russia and Iran, illustrates differing yet complementary approaches to AI usage for power consolidation. Russia’s use of AI is more focused on digital disinformation and the manipulation of social media to influence public perception both domestically and abroad. By employing AI algorithms to amplify favorable narratives and sow discord among opposition groups, Russia harnesses technology as a tool for psychological operations and soft power. In contrast, Iran’s strategy relies on AI to bolster online surveillance and monitor the activities of dissidents, using technology to suppress freedom of speech and political opposition </w:t>
      </w:r>
      <w:r>
        <w:rPr>
          <w:color w:val="000000"/>
          <w:sz w:val="20"/>
          <w:szCs w:val="20"/>
        </w:rPr>
        <w:fldChar w:fldCharType="begin"/>
      </w:r>
      <w:r>
        <w:rPr>
          <w:color w:val="000000"/>
          <w:sz w:val="20"/>
          <w:szCs w:val="20"/>
        </w:rPr>
        <w:instrText xml:space="preserve"> ADDIN ZOTERO_ITEM CSL_CITATION {"citationID":"NunGpFTV","properties":{"formattedCitation":"(Zeng, 2020)","plainCitation":"(Zeng, 2020)","noteIndex":0},"citationItems":[{"id":910,"uris":["http://zotero.org/users/local/MvyTXXMq/items/2EH52VXC"],"itemData":{"id":910,"type":"article-journal","container-title":"International Affairs","DOI":"https://doi.org/10.1093/ia/iiaa172","issue":"6","page":"1441-1459","title":"Artificial Intelligence and China's Authoritarian Governance","volume":"96","author":[{"family":"Zeng","given":"J."}],"issued":{"date-parts":[["2020"]]}}}],"schema":"https://github.com/citation-style-language/schema/raw/master/csl-citation.json"} </w:instrText>
      </w:r>
      <w:r>
        <w:rPr>
          <w:color w:val="000000"/>
          <w:sz w:val="20"/>
          <w:szCs w:val="20"/>
        </w:rPr>
        <w:fldChar w:fldCharType="separate"/>
      </w:r>
      <w:r>
        <w:rPr>
          <w:noProof/>
          <w:color w:val="000000"/>
          <w:sz w:val="20"/>
          <w:szCs w:val="20"/>
        </w:rPr>
        <w:t>(Zeng, 2020)</w:t>
      </w:r>
      <w:r>
        <w:rPr>
          <w:color w:val="000000"/>
          <w:sz w:val="20"/>
          <w:szCs w:val="20"/>
        </w:rPr>
        <w:fldChar w:fldCharType="end"/>
      </w:r>
      <w:r>
        <w:rPr>
          <w:color w:val="000000"/>
          <w:sz w:val="20"/>
          <w:szCs w:val="20"/>
        </w:rPr>
        <w:t xml:space="preserve">. These approaches, while distinct, underscore the adaptive nature of AI as a means to reinforce state power across different political contexts. </w:t>
      </w:r>
    </w:p>
    <w:p w14:paraId="36C1FD46" w14:textId="77777777" w:rsidR="00640082" w:rsidRDefault="00640082" w:rsidP="00F97D7F">
      <w:pPr>
        <w:pStyle w:val="NormalWeb"/>
        <w:spacing w:before="0" w:beforeAutospacing="0" w:after="0" w:afterAutospacing="0"/>
        <w:ind w:left="717" w:firstLine="720"/>
        <w:jc w:val="both"/>
        <w:rPr>
          <w:color w:val="000000"/>
          <w:sz w:val="20"/>
          <w:szCs w:val="20"/>
        </w:rPr>
      </w:pPr>
      <w:r>
        <w:rPr>
          <w:color w:val="000000"/>
          <w:sz w:val="20"/>
          <w:szCs w:val="20"/>
        </w:rPr>
        <w:t xml:space="preserve">China’s approach stands out for its comprehensiveness. Unlike the single domain focuses of Russia and Iran, China employs AI across multiple sectors, blending surveillance, predictive policing, and ideological dissemination to create an all-encompassing system of control. This level of integration not only strengthens internal political stability but also enhances the country’s soft power by showcasing its ability to maintain order and economic growth through advanced technology. For other nations observing China’s success, this model presents a compelling case for replicating a form of digital governance that avoids the perceived chaos of liberal democracy. The widespread adoption of these practices poses significant challenges for global democratic values, potentially leading to an era where digital authoritarianism becomes a normative governance strategy. </w:t>
      </w:r>
    </w:p>
    <w:p w14:paraId="4B1E44EB" w14:textId="77777777" w:rsidR="00640082" w:rsidRDefault="00640082" w:rsidP="00F97D7F">
      <w:pPr>
        <w:pStyle w:val="NormalWeb"/>
        <w:spacing w:before="0" w:beforeAutospacing="0" w:after="0" w:afterAutospacing="0"/>
        <w:ind w:left="717" w:firstLine="720"/>
        <w:jc w:val="both"/>
        <w:rPr>
          <w:color w:val="000000"/>
          <w:sz w:val="20"/>
          <w:szCs w:val="20"/>
        </w:rPr>
      </w:pPr>
    </w:p>
    <w:p w14:paraId="6346B7B9" w14:textId="77777777" w:rsidR="00640082" w:rsidRPr="0037145C" w:rsidRDefault="00640082" w:rsidP="00465466">
      <w:pPr>
        <w:pStyle w:val="NormalWeb"/>
        <w:spacing w:before="0" w:beforeAutospacing="0" w:after="0" w:afterAutospacing="0"/>
        <w:ind w:left="717"/>
        <w:jc w:val="both"/>
        <w:rPr>
          <w:color w:val="000000"/>
          <w:sz w:val="20"/>
          <w:szCs w:val="20"/>
        </w:rPr>
      </w:pPr>
      <w:r>
        <w:rPr>
          <w:b/>
          <w:bCs/>
          <w:color w:val="000000"/>
          <w:sz w:val="20"/>
          <w:szCs w:val="20"/>
        </w:rPr>
        <w:t>Theoretical Implications and Broader Context</w:t>
      </w:r>
    </w:p>
    <w:p w14:paraId="2B031192" w14:textId="77777777" w:rsidR="00640082" w:rsidRDefault="00640082" w:rsidP="00465466">
      <w:pPr>
        <w:pStyle w:val="NormalWeb"/>
        <w:spacing w:before="0" w:beforeAutospacing="0" w:after="0" w:afterAutospacing="0"/>
        <w:ind w:left="717" w:firstLine="720"/>
        <w:jc w:val="both"/>
        <w:rPr>
          <w:color w:val="000000"/>
          <w:sz w:val="20"/>
          <w:szCs w:val="20"/>
        </w:rPr>
      </w:pPr>
      <w:r>
        <w:rPr>
          <w:color w:val="000000"/>
          <w:sz w:val="20"/>
          <w:szCs w:val="20"/>
        </w:rPr>
        <w:t xml:space="preserve">Situating the findings on China’s use of AI within the frameworks of authoritarian communication and surveillance studies reveals the complex and multifaceted nature of technology’s role in governance. Authoritarian communication theory posits that centralized control over information is a critical tool for regimes to suppress dissent and maintain power. The Chinese Communist Party has adeptly employed AI technologies to reinforce this control, leveraging these tools not just for passive monitoring but for active management of public discourse. The integration of AI in propaganda tools like the Xue Xi Qiang Guo app illustrates how technology serves to disseminate state narratives, embedding ideological conformity into the social fabric. This integration highlights a shift from traditional forms of state messaging to AI-powered platforms that adapt content to user engagement, ensuring a pervasive and tailored ideological influence </w:t>
      </w:r>
      <w:r>
        <w:rPr>
          <w:color w:val="000000"/>
          <w:sz w:val="20"/>
          <w:szCs w:val="20"/>
        </w:rPr>
        <w:fldChar w:fldCharType="begin"/>
      </w:r>
      <w:r>
        <w:rPr>
          <w:color w:val="000000"/>
          <w:sz w:val="20"/>
          <w:szCs w:val="20"/>
        </w:rPr>
        <w:instrText xml:space="preserve"> ADDIN ZOTERO_ITEM CSL_CITATION {"citationID":"k1T1EVXe","properties":{"formattedCitation":"(de-Lima-Santos et al., 2024)","plainCitation":"(de-Lima-Santos et al., 2024)","noteIndex":0},"citationItems":[{"id":911,"uris":["http://zotero.org/users/local/MvyTXXMq/items/JEU9HJMF"],"itemData":{"id":911,"type":"article-journal","container-title":"AI &amp; SOCIETY","DOI":"https://doi.org/10.1007/s00146-024-01973-5","page":"1-19","title":"Guiding the way: a comprehensive examination of AI guidelines in global media","author":[{"family":"Santos","given":"M. F.","non-dropping-particle":"de-Lima-"},{"family":"Yeung","given":"W. N."},{"family":"Dodds","given":"T."}],"issued":{"date-parts":[["2024"]]}}}],"schema":"https://github.com/citation-style-language/schema/raw/master/csl-citation.json"} </w:instrText>
      </w:r>
      <w:r>
        <w:rPr>
          <w:color w:val="000000"/>
          <w:sz w:val="20"/>
          <w:szCs w:val="20"/>
        </w:rPr>
        <w:fldChar w:fldCharType="separate"/>
      </w:r>
      <w:r>
        <w:rPr>
          <w:noProof/>
          <w:color w:val="000000"/>
          <w:sz w:val="20"/>
          <w:szCs w:val="20"/>
        </w:rPr>
        <w:t>(de-Lima-Santos et al., 2024)</w:t>
      </w:r>
      <w:r>
        <w:rPr>
          <w:color w:val="000000"/>
          <w:sz w:val="20"/>
          <w:szCs w:val="20"/>
        </w:rPr>
        <w:fldChar w:fldCharType="end"/>
      </w:r>
      <w:r>
        <w:rPr>
          <w:color w:val="000000"/>
          <w:sz w:val="20"/>
          <w:szCs w:val="20"/>
        </w:rPr>
        <w:t xml:space="preserve">. </w:t>
      </w:r>
    </w:p>
    <w:p w14:paraId="2FC5CDF4" w14:textId="77777777" w:rsidR="00640082" w:rsidRDefault="00640082" w:rsidP="00465466">
      <w:pPr>
        <w:pStyle w:val="NormalWeb"/>
        <w:spacing w:before="0" w:beforeAutospacing="0" w:after="0" w:afterAutospacing="0"/>
        <w:ind w:left="717" w:firstLine="720"/>
        <w:jc w:val="both"/>
        <w:rPr>
          <w:color w:val="000000"/>
          <w:sz w:val="20"/>
          <w:szCs w:val="20"/>
        </w:rPr>
      </w:pPr>
      <w:r>
        <w:rPr>
          <w:color w:val="000000"/>
          <w:sz w:val="20"/>
          <w:szCs w:val="20"/>
        </w:rPr>
        <w:t xml:space="preserve">Surveillance studies further explain how the omnipresence of AI technologies in public and private spaces shapes societal behaviors. The sheer scale and sophistication of surveillance tools -ranging from facial recognition to predictive policing- embed a sense of continuous oversight. This results in an environment where citizens are acutely aware of being watched, leading to self-censorship and behavioral conformity. The normalization of such comprehensive surveillance creates a society where dissent becomes a risky endeavor, reshaping social norms around expression and compliance. The psychological impact of living under such scrutiny reinforces state power not just by punishing dissent, but by preemptively discouraging it. These practices reflect a broader trend in digital authoritarianism where AI becomes a central tool in shaping citizen behavior and aligning it with state interests. </w:t>
      </w:r>
    </w:p>
    <w:p w14:paraId="527AE128" w14:textId="77777777" w:rsidR="00640082" w:rsidRDefault="00640082" w:rsidP="00465466">
      <w:pPr>
        <w:pStyle w:val="NormalWeb"/>
        <w:spacing w:before="0" w:beforeAutospacing="0" w:after="0" w:afterAutospacing="0"/>
        <w:ind w:left="717" w:firstLine="720"/>
        <w:jc w:val="both"/>
        <w:rPr>
          <w:color w:val="000000"/>
          <w:sz w:val="20"/>
          <w:szCs w:val="20"/>
        </w:rPr>
      </w:pPr>
      <w:r>
        <w:rPr>
          <w:color w:val="000000"/>
          <w:sz w:val="20"/>
          <w:szCs w:val="20"/>
        </w:rPr>
        <w:t xml:space="preserve">The ethical implications of AI deployment in such a context are profound. The use of AI-driven surveillance without transparency raises concerns about privacy violations and the erosion of trust in state institutions. More critically, the algorithms underpinning these systems often reflect biases present in the data they are trained on. This bias can lead to systematic discrimination, disproportionately affecting marginalized groups and exacerbating existing social inequalities. In China’s case, data used to develop surveillance algorithms may be skewed by socio-political priorities, leading to policies that unjustly target specific communities, such as the Uyghur population in Xinjiang. The lack of diverse training datasets further amplifies these issues, resulting in discriminatory practices that undermine fairness and equity </w:t>
      </w:r>
      <w:r>
        <w:rPr>
          <w:color w:val="000000"/>
          <w:sz w:val="20"/>
          <w:szCs w:val="20"/>
        </w:rPr>
        <w:fldChar w:fldCharType="begin"/>
      </w:r>
      <w:r>
        <w:rPr>
          <w:color w:val="000000"/>
          <w:sz w:val="20"/>
          <w:szCs w:val="20"/>
        </w:rPr>
        <w:instrText xml:space="preserve"> ADDIN ZOTERO_ITEM CSL_CITATION {"citationID":"qOlOPOmF","properties":{"formattedCitation":"(Williams et al., 2018)","plainCitation":"(Williams et al., 2018)","noteIndex":0},"citationItems":[{"id":912,"uris":["http://zotero.org/users/local/MvyTXXMq/items/3L6XKIBG"],"itemData":{"id":912,"type":"article-journal","container-title":"Journal of Information Policy","DOI":"https://doi.org/10.5325/jinfopoli.8.2018.0078","page":"78-115","title":"How algorithms discriminate based on data they lack: Challenges, solutions, and policy implications.","volume":"8","author":[{"family":"Williams","given":"B. A."},{"family":"Brooks","given":"C. F."},{"family":"Shmargad","given":"Y."}],"issued":{"date-parts":[["2018"]]}}}],"schema":"https://github.com/citation-style-language/schema/raw/master/csl-citation.json"} </w:instrText>
      </w:r>
      <w:r>
        <w:rPr>
          <w:color w:val="000000"/>
          <w:sz w:val="20"/>
          <w:szCs w:val="20"/>
        </w:rPr>
        <w:fldChar w:fldCharType="separate"/>
      </w:r>
      <w:r>
        <w:rPr>
          <w:noProof/>
          <w:color w:val="000000"/>
          <w:sz w:val="20"/>
          <w:szCs w:val="20"/>
        </w:rPr>
        <w:t>(Williams et al., 2018)</w:t>
      </w:r>
      <w:r>
        <w:rPr>
          <w:color w:val="000000"/>
          <w:sz w:val="20"/>
          <w:szCs w:val="20"/>
        </w:rPr>
        <w:fldChar w:fldCharType="end"/>
      </w:r>
      <w:r>
        <w:rPr>
          <w:color w:val="000000"/>
          <w:sz w:val="20"/>
          <w:szCs w:val="20"/>
        </w:rPr>
        <w:t xml:space="preserve">. </w:t>
      </w:r>
    </w:p>
    <w:p w14:paraId="4F1C9B5D" w14:textId="77777777" w:rsidR="00640082" w:rsidRDefault="00640082" w:rsidP="002215AD">
      <w:pPr>
        <w:pStyle w:val="NormalWeb"/>
        <w:spacing w:after="0"/>
        <w:ind w:left="717" w:firstLine="720"/>
        <w:rPr>
          <w:color w:val="000000"/>
          <w:sz w:val="20"/>
          <w:szCs w:val="20"/>
        </w:rPr>
      </w:pPr>
      <w:r w:rsidRPr="002215AD">
        <w:rPr>
          <w:color w:val="000000"/>
          <w:sz w:val="20"/>
          <w:szCs w:val="20"/>
        </w:rPr>
        <w:t>For the Uyghur population, the impact of such biases has been particularly severe. AI-driven surveillance systems, including facial recognition and predictive policing tools, have been deployed extensively in Xinjiang under the guise of maintaining social stability. However, these systems often disproportionately flag Uyghur individuals as potential threats, subjecting them to heightened scrutiny, arbitrary detentions, and invasive monitoring of daily activities. This pervasive surveillance has led to significant psychological distress within the community, fostering an environment of fear and oppression.</w:t>
      </w:r>
      <w:r>
        <w:rPr>
          <w:color w:val="000000"/>
          <w:sz w:val="20"/>
          <w:szCs w:val="20"/>
        </w:rPr>
        <w:t xml:space="preserve"> </w:t>
      </w:r>
      <w:r w:rsidRPr="002215AD">
        <w:rPr>
          <w:color w:val="000000"/>
          <w:sz w:val="20"/>
          <w:szCs w:val="20"/>
        </w:rPr>
        <w:t>Moreover, the use of biased AI tools amplifies systemic injustices, as these technologies legitimize and institutionalize discriminatory practices against minorities. By embedding prejudice into ostensibly neutral algorithms, the Chinese government leverages AI as a tool to reinforce authoritarian control while marginalizing dissenting voices. This raises profound ethical concerns about the role of AI in governance, particularly in contexts where accountability mechanisms are weak or absent. To address these issues, a critical re-examination of the design and deployment of AI technologies is necessary, alongside international advocacy for the protection of human rights and the implementation of ethical AI standards.</w:t>
      </w:r>
      <w:r>
        <w:rPr>
          <w:color w:val="000000"/>
          <w:sz w:val="20"/>
          <w:szCs w:val="20"/>
        </w:rPr>
        <w:t xml:space="preserve"> To mitigate these risks, scholars and human rights advocates call for greater transparency, algorithmic accountability, and the inclusion of diverse data in AI training. Incorporating oversight mechanisms -whether through independent audits or participatory design processes- can help ensure that AI systems are developed and implemented with ethical safeguards. Such measures are critical in promoting fairness and protecting civil liberties, particularly in contexts where technology has the potential to be wielded as an instrument of repression. The role of international collaboration is also emphasized; global standards and cross-border agreements could play a role in encouraging responsible AI use and preventing the normalization of oppressive technologies. </w:t>
      </w:r>
    </w:p>
    <w:p w14:paraId="178124D7" w14:textId="77777777" w:rsidR="00640082" w:rsidRDefault="00640082" w:rsidP="00465466">
      <w:pPr>
        <w:pStyle w:val="NormalWeb"/>
        <w:spacing w:before="0" w:beforeAutospacing="0" w:after="0" w:afterAutospacing="0"/>
        <w:ind w:left="717" w:firstLine="720"/>
        <w:jc w:val="both"/>
        <w:rPr>
          <w:color w:val="000000"/>
          <w:sz w:val="20"/>
          <w:szCs w:val="20"/>
        </w:rPr>
      </w:pPr>
      <w:r>
        <w:rPr>
          <w:color w:val="000000"/>
          <w:sz w:val="20"/>
          <w:szCs w:val="20"/>
        </w:rPr>
        <w:t xml:space="preserve">The broader implications for democratic norms and global governance are significant. As China continues to export its model of AI-powered governance, other states may adopt similar systems, accelerating the shift toward global digital authoritarianism. This potential for replication highlights the urgency for democratic societies to champion ethical AI practices and advocate for frameworks that prioritize human rights. Failure to address these challenges could contribute to a world where the line between technological progress and repression becomes increasingly blurred, altering the balance of power in ways that fundamentally challenges the values underpinning democratic governance. </w:t>
      </w:r>
    </w:p>
    <w:p w14:paraId="506F0EB7" w14:textId="77777777" w:rsidR="00640082" w:rsidRDefault="00640082" w:rsidP="00465466">
      <w:pPr>
        <w:pStyle w:val="NormalWeb"/>
        <w:spacing w:before="0" w:beforeAutospacing="0" w:after="0" w:afterAutospacing="0"/>
        <w:ind w:left="717" w:firstLine="720"/>
        <w:jc w:val="both"/>
        <w:rPr>
          <w:color w:val="000000"/>
          <w:sz w:val="20"/>
          <w:szCs w:val="20"/>
        </w:rPr>
      </w:pPr>
    </w:p>
    <w:p w14:paraId="4F946EAD" w14:textId="0264BDA1" w:rsidR="00640082" w:rsidRPr="0037145C" w:rsidRDefault="00640082" w:rsidP="00043D40">
      <w:pPr>
        <w:pStyle w:val="ListParagraph"/>
        <w:numPr>
          <w:ilvl w:val="3"/>
          <w:numId w:val="10"/>
        </w:numPr>
        <w:spacing w:line="240" w:lineRule="auto"/>
        <w:ind w:left="709"/>
        <w:rPr>
          <w:rFonts w:ascii="Times New Roman" w:hAnsi="Times New Roman" w:cs="Times New Roman"/>
          <w:b/>
          <w:bCs/>
          <w:sz w:val="24"/>
          <w:szCs w:val="24"/>
          <w:lang w:val="en-US"/>
        </w:rPr>
      </w:pPr>
      <w:r w:rsidRPr="0037145C">
        <w:rPr>
          <w:rFonts w:ascii="Times New Roman" w:hAnsi="Times New Roman" w:cs="Times New Roman"/>
          <w:b/>
          <w:bCs/>
          <w:sz w:val="24"/>
          <w:szCs w:val="24"/>
          <w:lang w:val="en-US"/>
        </w:rPr>
        <w:t xml:space="preserve">Conclusions </w:t>
      </w:r>
    </w:p>
    <w:p w14:paraId="0C66C7C8" w14:textId="77777777" w:rsidR="00640082" w:rsidRPr="002215AD" w:rsidRDefault="00640082" w:rsidP="002215AD">
      <w:pPr>
        <w:pStyle w:val="NormalWeb"/>
        <w:spacing w:after="0"/>
        <w:ind w:left="720" w:firstLine="720"/>
        <w:rPr>
          <w:color w:val="000000"/>
          <w:sz w:val="20"/>
          <w:szCs w:val="20"/>
        </w:rPr>
      </w:pPr>
      <w:r w:rsidRPr="002215AD">
        <w:rPr>
          <w:color w:val="000000"/>
          <w:sz w:val="20"/>
          <w:szCs w:val="20"/>
        </w:rPr>
        <w:t>This study highlights the profound role artificial intelligence plays in enhancing and sustaining authoritarian governance in China. The Chinese government has increasingly employed advanced surveillance technologies, such as facial recognition and predictive policing, to assert comprehensive control over its citizens. These technologies facilitate meticulous monitoring, enabling the suppression of dissent and the maintenance of control, particularly in regions like Xinjiang. In these areas, AI-powered surveillance is not only used to monitor daily activities but also to target and quash resistance.</w:t>
      </w:r>
    </w:p>
    <w:p w14:paraId="5E0AEA78" w14:textId="77777777" w:rsidR="00640082" w:rsidRPr="002215AD" w:rsidRDefault="00640082" w:rsidP="002215AD">
      <w:pPr>
        <w:pStyle w:val="NormalWeb"/>
        <w:spacing w:after="0"/>
        <w:ind w:left="720" w:firstLine="720"/>
        <w:rPr>
          <w:color w:val="000000"/>
          <w:sz w:val="20"/>
          <w:szCs w:val="20"/>
        </w:rPr>
      </w:pPr>
      <w:r w:rsidRPr="002215AD">
        <w:rPr>
          <w:color w:val="000000"/>
          <w:sz w:val="20"/>
          <w:szCs w:val="20"/>
        </w:rPr>
        <w:t>The integration of AI into media and communication platforms further consolidates state control. One example is the Xue Xi Qiang Guo app, which showcases how AI-driven tools are harnessed to propagate political ideology and reinforce government narratives. These platforms serve dual purposes: enhancing governance efficiency and functioning as mechanisms for ideological reinforcement. Through AI, content that aligns with state-approved ideologies dominates public discourse, ensuring that alternative narratives are either marginalized or erased.</w:t>
      </w:r>
    </w:p>
    <w:p w14:paraId="63D1DAE1" w14:textId="77777777" w:rsidR="00640082" w:rsidRPr="002215AD" w:rsidRDefault="00640082" w:rsidP="00822617">
      <w:pPr>
        <w:pStyle w:val="NormalWeb"/>
        <w:spacing w:after="0"/>
        <w:ind w:left="720" w:firstLine="720"/>
        <w:jc w:val="both"/>
        <w:rPr>
          <w:color w:val="000000"/>
          <w:sz w:val="20"/>
          <w:szCs w:val="20"/>
        </w:rPr>
      </w:pPr>
      <w:r w:rsidRPr="002215AD">
        <w:rPr>
          <w:color w:val="000000"/>
          <w:sz w:val="20"/>
          <w:szCs w:val="20"/>
        </w:rPr>
        <w:t>The implications of these findings are profound, especially when considering the ethical, social, and political ramifications of AI’s role in governance. The widespread use of AI-driven surveillance in China raises significant concerns about privacy and civil liberties. This environment fosters self-censorship, stifling freedom of expression and political participation. Moreover, the potential for AI systems to perpetuate or exacerbate societal biases and inequalities presents a critical issue, as algorithmic decision-making disproportionately impacts marginalized communities. The deployment of AI as a tool for narrative control further complicates these concerns, leading to essential questions about the responsibilities of developers and policymakers in ensuring that technology supports fairness, diversity, and human rights, rather than undermining them.</w:t>
      </w:r>
    </w:p>
    <w:p w14:paraId="04C6C90D" w14:textId="77777777" w:rsidR="00640082" w:rsidRPr="002215AD" w:rsidRDefault="00640082" w:rsidP="00822617">
      <w:pPr>
        <w:pStyle w:val="NormalWeb"/>
        <w:spacing w:after="0"/>
        <w:ind w:left="720" w:firstLine="720"/>
        <w:jc w:val="both"/>
        <w:rPr>
          <w:color w:val="000000"/>
          <w:sz w:val="20"/>
          <w:szCs w:val="20"/>
        </w:rPr>
      </w:pPr>
      <w:r w:rsidRPr="002215AD">
        <w:rPr>
          <w:color w:val="000000"/>
          <w:sz w:val="20"/>
          <w:szCs w:val="20"/>
        </w:rPr>
        <w:t>However, the limitations of this research must be acknowledged. Restricted access to data, primarily due to state censorship, poses significant challenges to a comprehensive understanding of AI’s full impact. Much of the information available is filtered through state-controlled media, which may downplay or obscure the extent of surveillance measures and control mechanisms in place. This limitation highlights the necessity of integrating independent perspectives from human rights organizations, whistleblowers, and international analysts to achieve a clearer, more balanced view of AI’s role in governance. Collaborative efforts in data collection and sharing are essential for fostering transparency and revealing the nuanced ways AI is applied in authoritarian contexts.</w:t>
      </w:r>
    </w:p>
    <w:p w14:paraId="591BACFF" w14:textId="77777777" w:rsidR="00640082" w:rsidRDefault="00640082" w:rsidP="002215AD">
      <w:pPr>
        <w:pStyle w:val="NormalWeb"/>
        <w:spacing w:before="0" w:beforeAutospacing="0" w:after="0" w:afterAutospacing="0"/>
        <w:ind w:left="720" w:firstLine="720"/>
        <w:jc w:val="both"/>
        <w:rPr>
          <w:color w:val="000000"/>
          <w:sz w:val="20"/>
          <w:szCs w:val="20"/>
        </w:rPr>
      </w:pPr>
      <w:r w:rsidRPr="002215AD">
        <w:rPr>
          <w:color w:val="000000"/>
          <w:sz w:val="20"/>
          <w:szCs w:val="20"/>
        </w:rPr>
        <w:t>The contributions of this research extend beyond China, providing valuable insights into the broader global implications of AI in governance. The findings present a model of how AI can be leveraged by authoritarian regimes to consolidate power—an approach that may be replicated by other governments seeking to strengthen control. As such, this research underscores the urgent need for democratic societies to promote ethical AI practices that prioritize transparency, accountability, and the protection of individual rights. To address the global challenges posed by AI in governance, future research should compare AI governance models across various political regimes, examining the socio-political impacts of these technologies and developing policy recommendations that align AI use with democratic principles. Ensuring that AI serves as a force for empowerment, equity, and human rights, rather than oppression, will be crucial in shaping its future role on the global stage.</w:t>
      </w:r>
    </w:p>
    <w:p w14:paraId="15C89219" w14:textId="77777777" w:rsidR="00640082" w:rsidRPr="0037145C" w:rsidRDefault="00640082" w:rsidP="002215AD">
      <w:pPr>
        <w:pStyle w:val="NormalWeb"/>
        <w:spacing w:before="0" w:beforeAutospacing="0" w:after="0" w:afterAutospacing="0"/>
        <w:ind w:left="720" w:firstLine="720"/>
        <w:jc w:val="both"/>
        <w:rPr>
          <w:color w:val="000000"/>
          <w:sz w:val="20"/>
          <w:szCs w:val="20"/>
        </w:rPr>
      </w:pPr>
    </w:p>
    <w:p w14:paraId="4A998C4B" w14:textId="77777777" w:rsidR="00640082" w:rsidRPr="0037145C" w:rsidRDefault="00640082" w:rsidP="00043D40">
      <w:pPr>
        <w:pStyle w:val="NormalWeb"/>
        <w:spacing w:before="0" w:beforeAutospacing="0" w:after="0" w:afterAutospacing="0"/>
        <w:ind w:left="720"/>
        <w:jc w:val="both"/>
        <w:rPr>
          <w:b/>
          <w:bCs/>
          <w:color w:val="000000"/>
        </w:rPr>
      </w:pPr>
      <w:r w:rsidRPr="0037145C">
        <w:rPr>
          <w:b/>
          <w:bCs/>
          <w:color w:val="000000"/>
        </w:rPr>
        <w:t xml:space="preserve">Reference </w:t>
      </w:r>
    </w:p>
    <w:p w14:paraId="7FA7F076"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sz w:val="20"/>
          <w:szCs w:val="20"/>
          <w:lang w:val="en-US"/>
        </w:rPr>
        <w:fldChar w:fldCharType="begin"/>
      </w:r>
      <w:r w:rsidRPr="00A714D2">
        <w:rPr>
          <w:sz w:val="20"/>
          <w:szCs w:val="20"/>
          <w:lang w:val="sv-SE"/>
        </w:rPr>
        <w:instrText xml:space="preserve"> ADDIN ZOTERO_BIBL {"uncited":[],"omitted":[],"custom":[]} CSL_BIBLIOGRAPHY </w:instrText>
      </w:r>
      <w:r w:rsidRPr="00A714D2">
        <w:rPr>
          <w:sz w:val="20"/>
          <w:szCs w:val="20"/>
          <w:lang w:val="en-US"/>
        </w:rPr>
        <w:fldChar w:fldCharType="separate"/>
      </w:r>
      <w:r w:rsidRPr="00A714D2">
        <w:rPr>
          <w:rFonts w:ascii="Times New Roman" w:hAnsi="Times New Roman" w:cs="Times New Roman"/>
          <w:sz w:val="20"/>
          <w:szCs w:val="20"/>
          <w:lang w:val="sv-SE"/>
        </w:rPr>
        <w:t xml:space="preserve">Aloamaka, P. C., &amp; Omozue, M. O. (2024). </w:t>
      </w:r>
      <w:r w:rsidRPr="00A714D2">
        <w:rPr>
          <w:rFonts w:ascii="Times New Roman" w:hAnsi="Times New Roman" w:cs="Times New Roman"/>
          <w:sz w:val="20"/>
          <w:szCs w:val="20"/>
          <w:lang w:val="en-US"/>
        </w:rPr>
        <w:t xml:space="preserve">AI and Human Rights: Navigating Ethical and Legal Challenges in Developing Nations. </w:t>
      </w:r>
      <w:r w:rsidRPr="00A714D2">
        <w:rPr>
          <w:rFonts w:ascii="Times New Roman" w:hAnsi="Times New Roman" w:cs="Times New Roman"/>
          <w:i/>
          <w:iCs/>
          <w:sz w:val="20"/>
          <w:szCs w:val="20"/>
          <w:lang w:val="en-US"/>
        </w:rPr>
        <w:t>Khazanah Hukum</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6</w:t>
      </w:r>
      <w:r w:rsidRPr="00A714D2">
        <w:rPr>
          <w:rFonts w:ascii="Times New Roman" w:hAnsi="Times New Roman" w:cs="Times New Roman"/>
          <w:sz w:val="20"/>
          <w:szCs w:val="20"/>
          <w:lang w:val="en-US"/>
        </w:rPr>
        <w:t>(2), 189–201. https://doi.org/10.15575/kh.v6i2.37801</w:t>
      </w:r>
    </w:p>
    <w:p w14:paraId="68C0C930"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Cath, C. (2018). Governing artificial intelligence: Ethical, legal and technical opportunities and challenges. </w:t>
      </w:r>
      <w:r w:rsidRPr="00A714D2">
        <w:rPr>
          <w:rFonts w:ascii="Times New Roman" w:hAnsi="Times New Roman" w:cs="Times New Roman"/>
          <w:i/>
          <w:iCs/>
          <w:sz w:val="20"/>
          <w:szCs w:val="20"/>
          <w:lang w:val="en-US"/>
        </w:rPr>
        <w:t>Philosophical Transactions of the Royal Society A: Mathematical, Physical and Engineering Sciences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376</w:t>
      </w:r>
      <w:r w:rsidRPr="00A714D2">
        <w:rPr>
          <w:rFonts w:ascii="Times New Roman" w:hAnsi="Times New Roman" w:cs="Times New Roman"/>
          <w:sz w:val="20"/>
          <w:szCs w:val="20"/>
          <w:lang w:val="en-US"/>
        </w:rPr>
        <w:t>(2133), 20180080. https://doi.org/10.1098/rsta.2018.0080</w:t>
      </w:r>
    </w:p>
    <w:p w14:paraId="46F32D0D"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sv-SE"/>
        </w:rPr>
        <w:t xml:space="preserve">de-Lima-Santos, M. F., Yeung, W. N., &amp; Dodds, T. (2024). </w:t>
      </w:r>
      <w:r w:rsidRPr="00A714D2">
        <w:rPr>
          <w:rFonts w:ascii="Times New Roman" w:hAnsi="Times New Roman" w:cs="Times New Roman"/>
          <w:sz w:val="20"/>
          <w:szCs w:val="20"/>
          <w:lang w:val="en-US"/>
        </w:rPr>
        <w:t xml:space="preserve">Guiding the way: A comprehensive examination of AI guidelines in global media. </w:t>
      </w:r>
      <w:r w:rsidRPr="00A714D2">
        <w:rPr>
          <w:rFonts w:ascii="Times New Roman" w:hAnsi="Times New Roman" w:cs="Times New Roman"/>
          <w:i/>
          <w:iCs/>
          <w:sz w:val="20"/>
          <w:szCs w:val="20"/>
          <w:lang w:val="en-US"/>
        </w:rPr>
        <w:t>AI &amp; SOCIETY</w:t>
      </w:r>
      <w:r w:rsidRPr="00A714D2">
        <w:rPr>
          <w:rFonts w:ascii="Times New Roman" w:hAnsi="Times New Roman" w:cs="Times New Roman"/>
          <w:sz w:val="20"/>
          <w:szCs w:val="20"/>
          <w:lang w:val="en-US"/>
        </w:rPr>
        <w:t>, 1–19. https://doi.org/10.1007/s00146-024-01973-5</w:t>
      </w:r>
    </w:p>
    <w:p w14:paraId="7A1413CD"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Ezzat, M. A., Almotairi, S., &amp; Salem, M. A. M. (2021). Horizontal review on video surveillance for smart cities: Edge devices, applications, datasets, and future trends. </w:t>
      </w:r>
      <w:r w:rsidRPr="00A714D2">
        <w:rPr>
          <w:rFonts w:ascii="Times New Roman" w:hAnsi="Times New Roman" w:cs="Times New Roman"/>
          <w:i/>
          <w:iCs/>
          <w:sz w:val="20"/>
          <w:szCs w:val="20"/>
          <w:lang w:val="en-US"/>
        </w:rPr>
        <w:t>Sensors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21</w:t>
      </w:r>
      <w:r w:rsidRPr="00A714D2">
        <w:rPr>
          <w:rFonts w:ascii="Times New Roman" w:hAnsi="Times New Roman" w:cs="Times New Roman"/>
          <w:sz w:val="20"/>
          <w:szCs w:val="20"/>
          <w:lang w:val="en-US"/>
        </w:rPr>
        <w:t>(9), 3222.</w:t>
      </w:r>
    </w:p>
    <w:p w14:paraId="6F4895A2"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Fallon, P. K. (2022). </w:t>
      </w:r>
      <w:r w:rsidRPr="00A714D2">
        <w:rPr>
          <w:rFonts w:ascii="Times New Roman" w:hAnsi="Times New Roman" w:cs="Times New Roman"/>
          <w:i/>
          <w:iCs/>
          <w:sz w:val="20"/>
          <w:szCs w:val="20"/>
          <w:lang w:val="en-US"/>
        </w:rPr>
        <w:t>Propaganda 2.1: Understanding Propaganda in the Digital Age.</w:t>
      </w:r>
      <w:r w:rsidRPr="00A714D2">
        <w:rPr>
          <w:rFonts w:ascii="Times New Roman" w:hAnsi="Times New Roman" w:cs="Times New Roman"/>
          <w:sz w:val="20"/>
          <w:szCs w:val="20"/>
          <w:lang w:val="en-US"/>
        </w:rPr>
        <w:t xml:space="preserve"> Wipf and Stock Publishers.</w:t>
      </w:r>
    </w:p>
    <w:p w14:paraId="4EA152EC"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Feldstein, S. (2019). </w:t>
      </w:r>
      <w:r w:rsidRPr="00A714D2">
        <w:rPr>
          <w:rFonts w:ascii="Times New Roman" w:hAnsi="Times New Roman" w:cs="Times New Roman"/>
          <w:i/>
          <w:iCs/>
          <w:sz w:val="20"/>
          <w:szCs w:val="20"/>
          <w:lang w:val="en-US"/>
        </w:rPr>
        <w:t>The Global Expansion of AI Surveillance</w:t>
      </w:r>
      <w:r w:rsidRPr="00A714D2">
        <w:rPr>
          <w:rFonts w:ascii="Times New Roman" w:hAnsi="Times New Roman" w:cs="Times New Roman"/>
          <w:sz w:val="20"/>
          <w:szCs w:val="20"/>
          <w:lang w:val="en-US"/>
        </w:rPr>
        <w:t>. Carnegie Endowment for International Peace. https://carnegie-production-assets.s3.amazonaws.com/static/files/files__WP-Feldstein-AISurveillance_final1.pdf</w:t>
      </w:r>
    </w:p>
    <w:p w14:paraId="1DF7174E"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Gherhes, C., Yu, Z., Vorley, T., &amp; Xue, L. (2023). Technological trajectories as an outcome of the structure-agency interplay at the national level: Insights from emerging varieties of AI. </w:t>
      </w:r>
      <w:r w:rsidRPr="00A714D2">
        <w:rPr>
          <w:rFonts w:ascii="Times New Roman" w:hAnsi="Times New Roman" w:cs="Times New Roman"/>
          <w:i/>
          <w:iCs/>
          <w:sz w:val="20"/>
          <w:szCs w:val="20"/>
          <w:lang w:val="en-US"/>
        </w:rPr>
        <w:t>World Development</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168</w:t>
      </w:r>
      <w:r w:rsidRPr="00A714D2">
        <w:rPr>
          <w:rFonts w:ascii="Times New Roman" w:hAnsi="Times New Roman" w:cs="Times New Roman"/>
          <w:sz w:val="20"/>
          <w:szCs w:val="20"/>
          <w:lang w:val="en-US"/>
        </w:rPr>
        <w:t>, 106252. https://doi.org/10.1016/j.worlddev.2023.106252</w:t>
      </w:r>
    </w:p>
    <w:p w14:paraId="2B45D092"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Gilbert, L., &amp; Mohseni, P. (2018). Disabling dissent: The colour revolutions, autocratic linkages, and civil society regulations in hybrid regimes. </w:t>
      </w:r>
      <w:r w:rsidRPr="00A714D2">
        <w:rPr>
          <w:rFonts w:ascii="Times New Roman" w:hAnsi="Times New Roman" w:cs="Times New Roman"/>
          <w:i/>
          <w:iCs/>
          <w:sz w:val="20"/>
          <w:szCs w:val="20"/>
          <w:lang w:val="en-US"/>
        </w:rPr>
        <w:t>Contemporary Politics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24</w:t>
      </w:r>
      <w:r w:rsidRPr="00A714D2">
        <w:rPr>
          <w:rFonts w:ascii="Times New Roman" w:hAnsi="Times New Roman" w:cs="Times New Roman"/>
          <w:sz w:val="20"/>
          <w:szCs w:val="20"/>
          <w:lang w:val="en-US"/>
        </w:rPr>
        <w:t>(4), 454–480. https://doi.org/10.1080/13569775.2018.1471645</w:t>
      </w:r>
    </w:p>
    <w:p w14:paraId="305F4496"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Howard, P. N., Woolley, S., &amp; Calo, R. (2018). Algorithms, bots, and political communication in the US 2016 election: The challenge of automated political communication for election law and administration. </w:t>
      </w:r>
      <w:r w:rsidRPr="00A714D2">
        <w:rPr>
          <w:rFonts w:ascii="Times New Roman" w:hAnsi="Times New Roman" w:cs="Times New Roman"/>
          <w:i/>
          <w:iCs/>
          <w:sz w:val="20"/>
          <w:szCs w:val="20"/>
          <w:lang w:val="en-US"/>
        </w:rPr>
        <w:t>Journal of Information Technology &amp; Politics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15</w:t>
      </w:r>
      <w:r w:rsidRPr="00A714D2">
        <w:rPr>
          <w:rFonts w:ascii="Times New Roman" w:hAnsi="Times New Roman" w:cs="Times New Roman"/>
          <w:sz w:val="20"/>
          <w:szCs w:val="20"/>
          <w:lang w:val="en-US"/>
        </w:rPr>
        <w:t>(2), 81–93. https://doi.org/10.1080/19331681.2018.1448735</w:t>
      </w:r>
    </w:p>
    <w:p w14:paraId="51D6F646"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Hoxhaj, O., Halilaj, B., &amp; Hariji, A. (2023). Ethical Implications and Human Rights Violations In the Age of Artificial Intelligence. </w:t>
      </w:r>
      <w:r w:rsidRPr="00A714D2">
        <w:rPr>
          <w:rFonts w:ascii="Times New Roman" w:hAnsi="Times New Roman" w:cs="Times New Roman"/>
          <w:i/>
          <w:iCs/>
          <w:sz w:val="20"/>
          <w:szCs w:val="20"/>
          <w:lang w:val="en-US"/>
        </w:rPr>
        <w:t>Balkan Social Science Review</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22</w:t>
      </w:r>
      <w:r w:rsidRPr="00A714D2">
        <w:rPr>
          <w:rFonts w:ascii="Times New Roman" w:hAnsi="Times New Roman" w:cs="Times New Roman"/>
          <w:sz w:val="20"/>
          <w:szCs w:val="20"/>
          <w:lang w:val="en-US"/>
        </w:rPr>
        <w:t>(22), 153–171.</w:t>
      </w:r>
    </w:p>
    <w:p w14:paraId="3EB2B5B8"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Jones, H. (2022). </w:t>
      </w:r>
      <w:r w:rsidRPr="00A714D2">
        <w:rPr>
          <w:rFonts w:ascii="Times New Roman" w:hAnsi="Times New Roman" w:cs="Times New Roman"/>
          <w:i/>
          <w:iCs/>
          <w:sz w:val="20"/>
          <w:szCs w:val="20"/>
          <w:lang w:val="en-US"/>
        </w:rPr>
        <w:t>When AI Rules the World: China, the US, and the Race to Control a Smart Planet.</w:t>
      </w:r>
      <w:r w:rsidRPr="00A714D2">
        <w:rPr>
          <w:rFonts w:ascii="Times New Roman" w:hAnsi="Times New Roman" w:cs="Times New Roman"/>
          <w:sz w:val="20"/>
          <w:szCs w:val="20"/>
          <w:lang w:val="en-US"/>
        </w:rPr>
        <w:t xml:space="preserve"> Bombardier Books.</w:t>
      </w:r>
    </w:p>
    <w:p w14:paraId="68F228F6"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Khanal, S., Zhang, H., &amp; Taeihagh, A. (2024). Development of New Generation of Artificial Intelligence in China: When Beijing’s Global Ambitions Meet Local Realities. </w:t>
      </w:r>
      <w:r w:rsidRPr="00A714D2">
        <w:rPr>
          <w:rFonts w:ascii="Times New Roman" w:hAnsi="Times New Roman" w:cs="Times New Roman"/>
          <w:i/>
          <w:iCs/>
          <w:sz w:val="20"/>
          <w:szCs w:val="20"/>
          <w:lang w:val="en-US"/>
        </w:rPr>
        <w:t>Journal of Contemporary China</w:t>
      </w:r>
      <w:r w:rsidRPr="00A714D2">
        <w:rPr>
          <w:rFonts w:ascii="Times New Roman" w:hAnsi="Times New Roman" w:cs="Times New Roman"/>
          <w:sz w:val="20"/>
          <w:szCs w:val="20"/>
          <w:lang w:val="en-US"/>
        </w:rPr>
        <w:t>, 1–24. https://doi.org/10.1080/10670564.2024.2333492</w:t>
      </w:r>
    </w:p>
    <w:p w14:paraId="2D1A4C65"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Kitchin, R. (2020). Civil liberties or public health, or civil liberties and public health? Using surveillance technologies to tackle the spread of COVID-19. </w:t>
      </w:r>
      <w:r w:rsidRPr="00A714D2">
        <w:rPr>
          <w:rFonts w:ascii="Times New Roman" w:hAnsi="Times New Roman" w:cs="Times New Roman"/>
          <w:i/>
          <w:iCs/>
          <w:sz w:val="20"/>
          <w:szCs w:val="20"/>
          <w:lang w:val="en-US"/>
        </w:rPr>
        <w:t>Space and Polity</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24</w:t>
      </w:r>
      <w:r w:rsidRPr="00A714D2">
        <w:rPr>
          <w:rFonts w:ascii="Times New Roman" w:hAnsi="Times New Roman" w:cs="Times New Roman"/>
          <w:sz w:val="20"/>
          <w:szCs w:val="20"/>
          <w:lang w:val="en-US"/>
        </w:rPr>
        <w:t>(3), 362–381.</w:t>
      </w:r>
    </w:p>
    <w:p w14:paraId="64F18F2A"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Knutsen, C. H. (2015). Why democracies outgrow autocracies in the long run: Civil liberties, information flows and technological change. </w:t>
      </w:r>
      <w:r w:rsidRPr="00A714D2">
        <w:rPr>
          <w:rFonts w:ascii="Times New Roman" w:hAnsi="Times New Roman" w:cs="Times New Roman"/>
          <w:i/>
          <w:iCs/>
          <w:sz w:val="20"/>
          <w:szCs w:val="20"/>
          <w:lang w:val="en-US"/>
        </w:rPr>
        <w:t>Kyklos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68</w:t>
      </w:r>
      <w:r w:rsidRPr="00A714D2">
        <w:rPr>
          <w:rFonts w:ascii="Times New Roman" w:hAnsi="Times New Roman" w:cs="Times New Roman"/>
          <w:sz w:val="20"/>
          <w:szCs w:val="20"/>
          <w:lang w:val="en-US"/>
        </w:rPr>
        <w:t>(3), 357–384. https://doi.org/10.1111/kykl.12087</w:t>
      </w:r>
    </w:p>
    <w:p w14:paraId="220E1B3F"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Kolade, T. M. (2024). Artificial Intelligence and Global Security: Strengthening International Cooperation and Diplomatic Relations. </w:t>
      </w:r>
      <w:r w:rsidRPr="00A714D2">
        <w:rPr>
          <w:rFonts w:ascii="Times New Roman" w:hAnsi="Times New Roman" w:cs="Times New Roman"/>
          <w:i/>
          <w:iCs/>
          <w:sz w:val="20"/>
          <w:szCs w:val="20"/>
          <w:lang w:val="en-US"/>
        </w:rPr>
        <w:t>Current Research International</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24</w:t>
      </w:r>
      <w:r w:rsidRPr="00A714D2">
        <w:rPr>
          <w:rFonts w:ascii="Times New Roman" w:hAnsi="Times New Roman" w:cs="Times New Roman"/>
          <w:sz w:val="20"/>
          <w:szCs w:val="20"/>
          <w:lang w:val="en-US"/>
        </w:rPr>
        <w:t>(11), 23–47. https://doi.org/10.9734/acri/2024/v24i11945</w:t>
      </w:r>
    </w:p>
    <w:p w14:paraId="12380353"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Lams, L. (2018). Examining strategic narratives in Chinese official discourse under Xi Jinping. </w:t>
      </w:r>
      <w:r w:rsidRPr="00A714D2">
        <w:rPr>
          <w:rFonts w:ascii="Times New Roman" w:hAnsi="Times New Roman" w:cs="Times New Roman"/>
          <w:i/>
          <w:iCs/>
          <w:sz w:val="20"/>
          <w:szCs w:val="20"/>
          <w:lang w:val="en-US"/>
        </w:rPr>
        <w:t>Journal of Chinese Political Science</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23</w:t>
      </w:r>
      <w:r w:rsidRPr="00A714D2">
        <w:rPr>
          <w:rFonts w:ascii="Times New Roman" w:hAnsi="Times New Roman" w:cs="Times New Roman"/>
          <w:sz w:val="20"/>
          <w:szCs w:val="20"/>
          <w:lang w:val="en-US"/>
        </w:rPr>
        <w:t>(3), 387–411. https://doi.org/10.1007/s11366-018-9529-8</w:t>
      </w:r>
    </w:p>
    <w:p w14:paraId="09E44CEA"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Morrison, E. (2016). </w:t>
      </w:r>
      <w:r w:rsidRPr="00A714D2">
        <w:rPr>
          <w:rFonts w:ascii="Times New Roman" w:hAnsi="Times New Roman" w:cs="Times New Roman"/>
          <w:i/>
          <w:iCs/>
          <w:sz w:val="20"/>
          <w:szCs w:val="20"/>
          <w:lang w:val="en-US"/>
        </w:rPr>
        <w:t>Discipline and Desire: Surveillance Technologies in Performance</w:t>
      </w:r>
      <w:r w:rsidRPr="00A714D2">
        <w:rPr>
          <w:rFonts w:ascii="Times New Roman" w:hAnsi="Times New Roman" w:cs="Times New Roman"/>
          <w:sz w:val="20"/>
          <w:szCs w:val="20"/>
          <w:lang w:val="en-US"/>
        </w:rPr>
        <w:t>. University of Michigan Press.</w:t>
      </w:r>
    </w:p>
    <w:p w14:paraId="1667649C"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Saeidnia, H. R., Fotami, S. G. H., Lund, B., &amp; Ghiasi, N. (2024). Ethical Considerations in Artificial Intelligence Interventions for Mental Health and Well-Being: Ensuring Responsible Implementation and Impact. </w:t>
      </w:r>
      <w:r w:rsidRPr="00A714D2">
        <w:rPr>
          <w:rFonts w:ascii="Times New Roman" w:hAnsi="Times New Roman" w:cs="Times New Roman"/>
          <w:i/>
          <w:iCs/>
          <w:sz w:val="20"/>
          <w:szCs w:val="20"/>
          <w:lang w:val="en-US"/>
        </w:rPr>
        <w:t>Social Sciences</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13</w:t>
      </w:r>
      <w:r w:rsidRPr="00A714D2">
        <w:rPr>
          <w:rFonts w:ascii="Times New Roman" w:hAnsi="Times New Roman" w:cs="Times New Roman"/>
          <w:sz w:val="20"/>
          <w:szCs w:val="20"/>
          <w:lang w:val="en-US"/>
        </w:rPr>
        <w:t>(7), 1–15.</w:t>
      </w:r>
    </w:p>
    <w:p w14:paraId="178B5F9C"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Taeihagh, A. (2021). Governance of artificial intelligence. </w:t>
      </w:r>
      <w:r w:rsidRPr="00A714D2">
        <w:rPr>
          <w:rFonts w:ascii="Times New Roman" w:hAnsi="Times New Roman" w:cs="Times New Roman"/>
          <w:i/>
          <w:iCs/>
          <w:sz w:val="20"/>
          <w:szCs w:val="20"/>
          <w:lang w:val="en-US"/>
        </w:rPr>
        <w:t>Policy and Society</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40</w:t>
      </w:r>
      <w:r w:rsidRPr="00A714D2">
        <w:rPr>
          <w:rFonts w:ascii="Times New Roman" w:hAnsi="Times New Roman" w:cs="Times New Roman"/>
          <w:sz w:val="20"/>
          <w:szCs w:val="20"/>
          <w:lang w:val="en-US"/>
        </w:rPr>
        <w:t>(2), 137–157. https://doi.org/10.1080/14494035.2021.1928377</w:t>
      </w:r>
    </w:p>
    <w:p w14:paraId="58DF9A38"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Vuori, J. A. (2024). </w:t>
      </w:r>
      <w:r w:rsidRPr="00A714D2">
        <w:rPr>
          <w:rFonts w:ascii="Times New Roman" w:hAnsi="Times New Roman" w:cs="Times New Roman"/>
          <w:i/>
          <w:iCs/>
          <w:sz w:val="20"/>
          <w:szCs w:val="20"/>
          <w:lang w:val="en-US"/>
        </w:rPr>
        <w:t>Chinese Macrosecuritization: China’s Alignment in Global Security Discourses</w:t>
      </w:r>
      <w:r w:rsidRPr="00A714D2">
        <w:rPr>
          <w:rFonts w:ascii="Times New Roman" w:hAnsi="Times New Roman" w:cs="Times New Roman"/>
          <w:sz w:val="20"/>
          <w:szCs w:val="20"/>
          <w:lang w:val="en-US"/>
        </w:rPr>
        <w:t>. Routledge.</w:t>
      </w:r>
    </w:p>
    <w:p w14:paraId="152C392D"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Williams, B. A., Brooks, C. F., &amp; Shmargad, Y. (2018). How algorithms discriminate based on data they lack: Challenges, solutions, and policy implications. </w:t>
      </w:r>
      <w:r w:rsidRPr="00A714D2">
        <w:rPr>
          <w:rFonts w:ascii="Times New Roman" w:hAnsi="Times New Roman" w:cs="Times New Roman"/>
          <w:i/>
          <w:iCs/>
          <w:sz w:val="20"/>
          <w:szCs w:val="20"/>
          <w:lang w:val="en-US"/>
        </w:rPr>
        <w:t>Journal of Information Policy</w:t>
      </w:r>
      <w:r w:rsidRPr="00A714D2">
        <w:rPr>
          <w:rFonts w:ascii="Times New Roman" w:hAnsi="Times New Roman" w:cs="Times New Roman"/>
          <w:sz w:val="20"/>
          <w:szCs w:val="20"/>
          <w:lang w:val="en-US"/>
        </w:rPr>
        <w:t xml:space="preserve">, </w:t>
      </w:r>
      <w:r w:rsidRPr="00A714D2">
        <w:rPr>
          <w:rFonts w:ascii="Times New Roman" w:hAnsi="Times New Roman" w:cs="Times New Roman"/>
          <w:i/>
          <w:iCs/>
          <w:sz w:val="20"/>
          <w:szCs w:val="20"/>
          <w:lang w:val="en-US"/>
        </w:rPr>
        <w:t>8</w:t>
      </w:r>
      <w:r w:rsidRPr="00A714D2">
        <w:rPr>
          <w:rFonts w:ascii="Times New Roman" w:hAnsi="Times New Roman" w:cs="Times New Roman"/>
          <w:sz w:val="20"/>
          <w:szCs w:val="20"/>
          <w:lang w:val="en-US"/>
        </w:rPr>
        <w:t>, 78–115. https://doi.org/10.5325/jinfopoli.8.2018.0078</w:t>
      </w:r>
    </w:p>
    <w:p w14:paraId="5C9A3D3A"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en-US"/>
        </w:rPr>
      </w:pPr>
      <w:r w:rsidRPr="00A714D2">
        <w:rPr>
          <w:rFonts w:ascii="Times New Roman" w:hAnsi="Times New Roman" w:cs="Times New Roman"/>
          <w:sz w:val="20"/>
          <w:szCs w:val="20"/>
          <w:lang w:val="en-US"/>
        </w:rPr>
        <w:t xml:space="preserve">Yang, D., &amp; Yuchtman, N. (2022, July 27). </w:t>
      </w:r>
      <w:r w:rsidRPr="00A714D2">
        <w:rPr>
          <w:rFonts w:ascii="Times New Roman" w:hAnsi="Times New Roman" w:cs="Times New Roman"/>
          <w:i/>
          <w:iCs/>
          <w:sz w:val="20"/>
          <w:szCs w:val="20"/>
          <w:lang w:val="en-US"/>
        </w:rPr>
        <w:t>Artificial Intelligence and the U.S.-China Relationship</w:t>
      </w:r>
      <w:r w:rsidRPr="00A714D2">
        <w:rPr>
          <w:rFonts w:ascii="Times New Roman" w:hAnsi="Times New Roman" w:cs="Times New Roman"/>
          <w:sz w:val="20"/>
          <w:szCs w:val="20"/>
          <w:lang w:val="en-US"/>
        </w:rPr>
        <w:t xml:space="preserve"> [Feature]. Big Data China. https://bigdatachina.csis.org/the-ai-surveillance-symbiosis-in-china/</w:t>
      </w:r>
    </w:p>
    <w:p w14:paraId="242BB7A8" w14:textId="77777777" w:rsidR="00640082" w:rsidRPr="00A714D2" w:rsidRDefault="00640082" w:rsidP="00822617">
      <w:pPr>
        <w:pStyle w:val="Bibliography"/>
        <w:spacing w:line="240" w:lineRule="auto"/>
        <w:ind w:left="1134" w:hanging="425"/>
        <w:rPr>
          <w:rFonts w:ascii="Times New Roman" w:hAnsi="Times New Roman" w:cs="Times New Roman"/>
          <w:sz w:val="20"/>
          <w:szCs w:val="20"/>
          <w:lang w:val="sv-SE"/>
        </w:rPr>
      </w:pPr>
      <w:r w:rsidRPr="00A714D2">
        <w:rPr>
          <w:rFonts w:ascii="Times New Roman" w:hAnsi="Times New Roman" w:cs="Times New Roman"/>
          <w:sz w:val="20"/>
          <w:szCs w:val="20"/>
          <w:lang w:val="en-US"/>
        </w:rPr>
        <w:t xml:space="preserve">Zeng, J. (2020). Artificial Intelligence and China’s Authoritarian Governance. </w:t>
      </w:r>
      <w:r w:rsidRPr="00A714D2">
        <w:rPr>
          <w:rFonts w:ascii="Times New Roman" w:hAnsi="Times New Roman" w:cs="Times New Roman"/>
          <w:i/>
          <w:iCs/>
          <w:sz w:val="20"/>
          <w:szCs w:val="20"/>
          <w:lang w:val="sv-SE"/>
        </w:rPr>
        <w:t>International Affairs</w:t>
      </w:r>
      <w:r w:rsidRPr="00A714D2">
        <w:rPr>
          <w:rFonts w:ascii="Times New Roman" w:hAnsi="Times New Roman" w:cs="Times New Roman"/>
          <w:sz w:val="20"/>
          <w:szCs w:val="20"/>
          <w:lang w:val="sv-SE"/>
        </w:rPr>
        <w:t xml:space="preserve">, </w:t>
      </w:r>
      <w:r w:rsidRPr="00A714D2">
        <w:rPr>
          <w:rFonts w:ascii="Times New Roman" w:hAnsi="Times New Roman" w:cs="Times New Roman"/>
          <w:i/>
          <w:iCs/>
          <w:sz w:val="20"/>
          <w:szCs w:val="20"/>
          <w:lang w:val="sv-SE"/>
        </w:rPr>
        <w:t>96</w:t>
      </w:r>
      <w:r w:rsidRPr="00A714D2">
        <w:rPr>
          <w:rFonts w:ascii="Times New Roman" w:hAnsi="Times New Roman" w:cs="Times New Roman"/>
          <w:sz w:val="20"/>
          <w:szCs w:val="20"/>
          <w:lang w:val="sv-SE"/>
        </w:rPr>
        <w:t>(6), 1441–1459. https://doi.org/10.1093/ia/iiaa172</w:t>
      </w:r>
    </w:p>
    <w:p w14:paraId="3C317CDA" w14:textId="77777777" w:rsidR="00640082" w:rsidRPr="00A714D2" w:rsidRDefault="00640082" w:rsidP="00822617">
      <w:pPr>
        <w:autoSpaceDE w:val="0"/>
        <w:autoSpaceDN w:val="0"/>
        <w:ind w:left="567" w:hanging="425"/>
        <w:divId w:val="3167428"/>
        <w:rPr>
          <w:rFonts w:ascii="Times New Roman" w:hAnsi="Times New Roman" w:cs="Times New Roman"/>
          <w:sz w:val="20"/>
          <w:szCs w:val="20"/>
          <w:lang w:val="en-US"/>
        </w:rPr>
      </w:pPr>
      <w:r w:rsidRPr="00A714D2">
        <w:rPr>
          <w:sz w:val="20"/>
          <w:szCs w:val="20"/>
          <w:lang w:val="en-US"/>
        </w:rPr>
        <w:fldChar w:fldCharType="end"/>
      </w:r>
      <w:r w:rsidRPr="00A714D2">
        <w:rPr>
          <w:sz w:val="20"/>
          <w:szCs w:val="20"/>
        </w:rPr>
        <w:t xml:space="preserve"> </w:t>
      </w:r>
      <w:r w:rsidRPr="00A714D2">
        <w:rPr>
          <w:rFonts w:ascii="Times New Roman" w:hAnsi="Times New Roman" w:cs="Times New Roman"/>
          <w:sz w:val="20"/>
          <w:szCs w:val="20"/>
          <w:lang w:val="sv-SE"/>
        </w:rPr>
        <w:t xml:space="preserve">Harmonis, H. (2022). EVOLUSI TEORI SISTEM DAN PENGAWASAN PENYIARAN “MENURUT BEBERAPA PAKAR”. </w:t>
      </w:r>
      <w:r w:rsidRPr="00A714D2">
        <w:rPr>
          <w:rFonts w:ascii="Times New Roman" w:hAnsi="Times New Roman" w:cs="Times New Roman"/>
          <w:i/>
          <w:iCs/>
          <w:sz w:val="20"/>
          <w:szCs w:val="20"/>
          <w:lang w:val="en-US"/>
        </w:rPr>
        <w:t xml:space="preserve">Perspektif Komunikasi: </w:t>
      </w:r>
      <w:proofErr w:type="spellStart"/>
      <w:r w:rsidRPr="00A714D2">
        <w:rPr>
          <w:rFonts w:ascii="Times New Roman" w:hAnsi="Times New Roman" w:cs="Times New Roman"/>
          <w:i/>
          <w:iCs/>
          <w:sz w:val="20"/>
          <w:szCs w:val="20"/>
          <w:lang w:val="en-US"/>
        </w:rPr>
        <w:t>Jurnal</w:t>
      </w:r>
      <w:proofErr w:type="spellEnd"/>
      <w:r w:rsidRPr="00A714D2">
        <w:rPr>
          <w:rFonts w:ascii="Times New Roman" w:hAnsi="Times New Roman" w:cs="Times New Roman"/>
          <w:i/>
          <w:iCs/>
          <w:sz w:val="20"/>
          <w:szCs w:val="20"/>
          <w:lang w:val="en-US"/>
        </w:rPr>
        <w:t xml:space="preserve"> </w:t>
      </w:r>
      <w:proofErr w:type="spellStart"/>
      <w:r w:rsidRPr="00A714D2">
        <w:rPr>
          <w:rFonts w:ascii="Times New Roman" w:hAnsi="Times New Roman" w:cs="Times New Roman"/>
          <w:i/>
          <w:iCs/>
          <w:sz w:val="20"/>
          <w:szCs w:val="20"/>
          <w:lang w:val="en-US"/>
        </w:rPr>
        <w:t>Ilmu</w:t>
      </w:r>
      <w:proofErr w:type="spellEnd"/>
      <w:r w:rsidRPr="00A714D2">
        <w:rPr>
          <w:rFonts w:ascii="Times New Roman" w:hAnsi="Times New Roman" w:cs="Times New Roman"/>
          <w:i/>
          <w:iCs/>
          <w:sz w:val="20"/>
          <w:szCs w:val="20"/>
          <w:lang w:val="en-US"/>
        </w:rPr>
        <w:t xml:space="preserve"> Komunikasi Politik dan Komunikasi Bisnis</w:t>
      </w:r>
      <w:r w:rsidRPr="00A714D2">
        <w:rPr>
          <w:rFonts w:ascii="Times New Roman" w:hAnsi="Times New Roman" w:cs="Times New Roman"/>
          <w:sz w:val="20"/>
          <w:szCs w:val="20"/>
          <w:lang w:val="en-US"/>
        </w:rPr>
        <w:t>, 6(1), 89-109.</w:t>
      </w:r>
    </w:p>
    <w:p w14:paraId="518F8259" w14:textId="77777777" w:rsidR="00640082" w:rsidRPr="00DA22E3" w:rsidRDefault="00640082" w:rsidP="002215AD">
      <w:pPr>
        <w:rPr>
          <w:rFonts w:ascii="Times New Roman" w:hAnsi="Times New Roman" w:cs="Times New Roman"/>
          <w:sz w:val="18"/>
          <w:szCs w:val="18"/>
          <w:lang w:val="en-US"/>
        </w:rPr>
      </w:pPr>
    </w:p>
    <w:p w14:paraId="7B3F29A5" w14:textId="77777777" w:rsidR="00822617" w:rsidRDefault="00822617" w:rsidP="007E03ED">
      <w:pPr>
        <w:jc w:val="center"/>
        <w:rPr>
          <w:b/>
          <w:bCs/>
          <w:sz w:val="28"/>
          <w:szCs w:val="28"/>
          <w:lang w:val="en-US"/>
        </w:rPr>
      </w:pPr>
    </w:p>
    <w:p w14:paraId="0BA15E66" w14:textId="77777777" w:rsidR="00822617" w:rsidRDefault="00822617" w:rsidP="007E03ED">
      <w:pPr>
        <w:jc w:val="center"/>
        <w:rPr>
          <w:b/>
          <w:bCs/>
          <w:sz w:val="28"/>
          <w:szCs w:val="28"/>
          <w:lang w:val="en-US"/>
        </w:rPr>
      </w:pPr>
    </w:p>
    <w:p w14:paraId="03FD13DD" w14:textId="77777777" w:rsidR="00822617" w:rsidRDefault="00822617" w:rsidP="007E03ED">
      <w:pPr>
        <w:jc w:val="center"/>
        <w:rPr>
          <w:b/>
          <w:bCs/>
          <w:sz w:val="28"/>
          <w:szCs w:val="28"/>
          <w:lang w:val="en-US"/>
        </w:rPr>
      </w:pPr>
    </w:p>
    <w:p w14:paraId="5D82FC92" w14:textId="77777777" w:rsidR="00822617" w:rsidRDefault="00822617" w:rsidP="0088357A">
      <w:pPr>
        <w:ind w:left="0"/>
        <w:rPr>
          <w:b/>
          <w:bCs/>
          <w:sz w:val="28"/>
          <w:szCs w:val="28"/>
          <w:lang w:val="en-US"/>
        </w:rPr>
      </w:pPr>
    </w:p>
    <w:p w14:paraId="2BCAE273" w14:textId="16873EDA" w:rsidR="00640082" w:rsidRPr="00822617" w:rsidRDefault="00640082" w:rsidP="008E37C0">
      <w:pPr>
        <w:pStyle w:val="Heading1"/>
        <w:rPr>
          <w:lang w:val="en-US"/>
        </w:rPr>
      </w:pPr>
      <w:bookmarkStart w:id="25" w:name="_Toc197537605"/>
      <w:r w:rsidRPr="00822617">
        <w:rPr>
          <w:lang w:val="en-US"/>
        </w:rPr>
        <w:t>Can AI Surpass Human Capabilities in Education? Exploring the Limits and Possibilities</w:t>
      </w:r>
      <w:bookmarkEnd w:id="25"/>
    </w:p>
    <w:p w14:paraId="215E30E4" w14:textId="77777777" w:rsidR="00640082" w:rsidRPr="00822617" w:rsidRDefault="00640082" w:rsidP="009A4688">
      <w:pPr>
        <w:jc w:val="center"/>
        <w:rPr>
          <w:rFonts w:ascii="Times New Roman" w:hAnsi="Times New Roman" w:cs="Times New Roman"/>
          <w:b/>
          <w:bCs/>
          <w:lang w:val="en-US"/>
        </w:rPr>
      </w:pPr>
    </w:p>
    <w:p w14:paraId="35866FDF" w14:textId="77777777" w:rsidR="00640082" w:rsidRPr="006701AC" w:rsidRDefault="00640082" w:rsidP="008E37C0">
      <w:pPr>
        <w:pStyle w:val="Heading2"/>
        <w:rPr>
          <w:vertAlign w:val="superscript"/>
          <w:lang w:val="en-US"/>
        </w:rPr>
      </w:pPr>
      <w:bookmarkStart w:id="26" w:name="_Toc197537606"/>
      <w:proofErr w:type="spellStart"/>
      <w:r w:rsidRPr="006701AC">
        <w:rPr>
          <w:lang w:val="en-US"/>
        </w:rPr>
        <w:t>Ainaya</w:t>
      </w:r>
      <w:proofErr w:type="spellEnd"/>
      <w:r w:rsidRPr="006701AC">
        <w:rPr>
          <w:lang w:val="en-US"/>
        </w:rPr>
        <w:t xml:space="preserve"> Aulia</w:t>
      </w:r>
      <w:r w:rsidRPr="006701AC">
        <w:rPr>
          <w:vertAlign w:val="superscript"/>
          <w:lang w:val="en-US"/>
        </w:rPr>
        <w:t>1</w:t>
      </w:r>
      <w:r w:rsidRPr="006701AC">
        <w:rPr>
          <w:lang w:val="en-US"/>
        </w:rPr>
        <w:t>, Audrey Areta Ardelia</w:t>
      </w:r>
      <w:r w:rsidRPr="006701AC">
        <w:rPr>
          <w:vertAlign w:val="superscript"/>
          <w:lang w:val="en-US"/>
        </w:rPr>
        <w:t>2</w:t>
      </w:r>
      <w:r w:rsidRPr="006701AC">
        <w:rPr>
          <w:lang w:val="en-US"/>
        </w:rPr>
        <w:t>, Devi Triani</w:t>
      </w:r>
      <w:r w:rsidRPr="006701AC">
        <w:rPr>
          <w:vertAlign w:val="superscript"/>
          <w:lang w:val="en-US"/>
        </w:rPr>
        <w:t>3</w:t>
      </w:r>
      <w:r w:rsidRPr="006701AC">
        <w:rPr>
          <w:lang w:val="en-US"/>
        </w:rPr>
        <w:t>, Vivi Anabella</w:t>
      </w:r>
      <w:r w:rsidRPr="006701AC">
        <w:rPr>
          <w:vertAlign w:val="superscript"/>
          <w:lang w:val="en-US"/>
        </w:rPr>
        <w:t>4</w:t>
      </w:r>
      <w:r w:rsidRPr="006701AC">
        <w:rPr>
          <w:lang w:val="en-US"/>
        </w:rPr>
        <w:t xml:space="preserve">, </w:t>
      </w:r>
      <w:proofErr w:type="spellStart"/>
      <w:r w:rsidRPr="006701AC">
        <w:rPr>
          <w:lang w:val="en-US"/>
        </w:rPr>
        <w:t>Graceylla</w:t>
      </w:r>
      <w:proofErr w:type="spellEnd"/>
      <w:r w:rsidRPr="006701AC">
        <w:rPr>
          <w:lang w:val="en-US"/>
        </w:rPr>
        <w:t xml:space="preserve"> Ayu </w:t>
      </w:r>
      <w:proofErr w:type="spellStart"/>
      <w:r w:rsidRPr="006701AC">
        <w:rPr>
          <w:lang w:val="en-US"/>
        </w:rPr>
        <w:t>Nataliae</w:t>
      </w:r>
      <w:proofErr w:type="spellEnd"/>
      <w:r w:rsidRPr="006701AC">
        <w:rPr>
          <w:lang w:val="en-US"/>
        </w:rPr>
        <w:t xml:space="preserve"> Saranga</w:t>
      </w:r>
      <w:r w:rsidRPr="006701AC">
        <w:rPr>
          <w:vertAlign w:val="superscript"/>
          <w:lang w:val="en-US"/>
        </w:rPr>
        <w:t>5</w:t>
      </w:r>
      <w:r w:rsidRPr="006701AC">
        <w:rPr>
          <w:lang w:val="en-US"/>
        </w:rPr>
        <w:t>, Ayuni</w:t>
      </w:r>
      <w:r w:rsidRPr="006701AC">
        <w:rPr>
          <w:vertAlign w:val="superscript"/>
          <w:lang w:val="en-US"/>
        </w:rPr>
        <w:t xml:space="preserve">6, </w:t>
      </w:r>
      <w:r w:rsidRPr="006701AC">
        <w:rPr>
          <w:lang w:val="en-US"/>
        </w:rPr>
        <w:t>Rina Juwita</w:t>
      </w:r>
      <w:r w:rsidRPr="006701AC">
        <w:rPr>
          <w:vertAlign w:val="superscript"/>
          <w:lang w:val="en-US"/>
        </w:rPr>
        <w:t>7</w:t>
      </w:r>
      <w:bookmarkEnd w:id="26"/>
    </w:p>
    <w:p w14:paraId="017E9E13"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vertAlign w:val="superscript"/>
          <w:lang w:val="en-US"/>
        </w:rPr>
        <w:t>1</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7182ED21"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0" w:history="1">
        <w:r w:rsidRPr="00822617">
          <w:rPr>
            <w:rStyle w:val="Hyperlink"/>
            <w:rFonts w:ascii="Times New Roman" w:hAnsi="Times New Roman" w:cs="Times New Roman"/>
          </w:rPr>
          <w:t>ainayasauliaa@gmail.com</w:t>
        </w:r>
      </w:hyperlink>
      <w:r w:rsidRPr="00822617">
        <w:rPr>
          <w:rFonts w:ascii="Times New Roman" w:hAnsi="Times New Roman" w:cs="Times New Roman"/>
          <w:lang w:val="en-US"/>
        </w:rPr>
        <w:t xml:space="preserve"> </w:t>
      </w:r>
    </w:p>
    <w:p w14:paraId="46D00DF7"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2</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36B48F3A"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1" w:history="1">
        <w:r w:rsidRPr="00822617">
          <w:rPr>
            <w:rStyle w:val="Hyperlink"/>
            <w:rFonts w:ascii="Times New Roman" w:hAnsi="Times New Roman" w:cs="Times New Roman"/>
          </w:rPr>
          <w:t>Audreyaudrey27@gmail.com</w:t>
        </w:r>
      </w:hyperlink>
      <w:r w:rsidRPr="00822617">
        <w:rPr>
          <w:rFonts w:ascii="Times New Roman" w:hAnsi="Times New Roman" w:cs="Times New Roman"/>
          <w:lang w:val="en-US"/>
        </w:rPr>
        <w:t xml:space="preserve"> </w:t>
      </w:r>
    </w:p>
    <w:p w14:paraId="47E77D62"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3</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16C20639"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2" w:history="1">
        <w:r w:rsidRPr="00822617">
          <w:rPr>
            <w:rStyle w:val="Hyperlink"/>
            <w:rFonts w:ascii="Times New Roman" w:hAnsi="Times New Roman" w:cs="Times New Roman"/>
          </w:rPr>
          <w:t>Devitriana2005@gmail.com</w:t>
        </w:r>
      </w:hyperlink>
      <w:r w:rsidRPr="00822617">
        <w:rPr>
          <w:rFonts w:ascii="Times New Roman" w:hAnsi="Times New Roman" w:cs="Times New Roman"/>
          <w:lang w:val="en-US"/>
        </w:rPr>
        <w:t xml:space="preserve"> </w:t>
      </w:r>
    </w:p>
    <w:p w14:paraId="2C758895"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4</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340587BC"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3" w:history="1">
        <w:r w:rsidRPr="00822617">
          <w:rPr>
            <w:rStyle w:val="Hyperlink"/>
            <w:rFonts w:ascii="Times New Roman" w:hAnsi="Times New Roman" w:cs="Times New Roman"/>
          </w:rPr>
          <w:t>viannabellaaa@gmail.com</w:t>
        </w:r>
      </w:hyperlink>
    </w:p>
    <w:p w14:paraId="5334F556"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5</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31B4CD5E"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4" w:history="1">
        <w:r w:rsidRPr="00822617">
          <w:rPr>
            <w:rStyle w:val="Hyperlink"/>
            <w:rFonts w:ascii="Times New Roman" w:hAnsi="Times New Roman" w:cs="Times New Roman"/>
          </w:rPr>
          <w:t>ngraceylla@gmail.com</w:t>
        </w:r>
      </w:hyperlink>
      <w:r w:rsidRPr="00822617">
        <w:rPr>
          <w:rFonts w:ascii="Times New Roman" w:hAnsi="Times New Roman" w:cs="Times New Roman"/>
          <w:lang w:val="en-US"/>
        </w:rPr>
        <w:t xml:space="preserve"> </w:t>
      </w:r>
    </w:p>
    <w:p w14:paraId="003762EC"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6*</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67DAAE0E" w14:textId="77777777" w:rsidR="00640082" w:rsidRPr="00822617" w:rsidRDefault="00640082" w:rsidP="0035528D">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5" w:history="1">
        <w:r w:rsidRPr="00822617">
          <w:rPr>
            <w:rStyle w:val="Hyperlink"/>
            <w:rFonts w:ascii="Times New Roman" w:hAnsi="Times New Roman" w:cs="Times New Roman"/>
          </w:rPr>
          <w:t>Ayuniafriani4@gmail.com</w:t>
        </w:r>
      </w:hyperlink>
      <w:r w:rsidRPr="00822617">
        <w:rPr>
          <w:rFonts w:ascii="Times New Roman" w:hAnsi="Times New Roman" w:cs="Times New Roman"/>
          <w:lang w:val="en-US"/>
        </w:rPr>
        <w:t xml:space="preserve"> </w:t>
      </w:r>
    </w:p>
    <w:p w14:paraId="4B544360" w14:textId="77777777" w:rsidR="00640082" w:rsidRPr="00822617" w:rsidRDefault="00640082" w:rsidP="00EB0BC8">
      <w:pPr>
        <w:jc w:val="center"/>
        <w:rPr>
          <w:rFonts w:ascii="Times New Roman" w:hAnsi="Times New Roman" w:cs="Times New Roman"/>
          <w:lang w:val="en-US"/>
        </w:rPr>
      </w:pPr>
      <w:r w:rsidRPr="00822617">
        <w:rPr>
          <w:rFonts w:ascii="Times New Roman" w:hAnsi="Times New Roman" w:cs="Times New Roman"/>
          <w:vertAlign w:val="superscript"/>
          <w:lang w:val="en-US"/>
        </w:rPr>
        <w:t>7</w:t>
      </w:r>
      <w:r w:rsidRPr="00822617">
        <w:rPr>
          <w:rFonts w:ascii="Times New Roman" w:hAnsi="Times New Roman" w:cs="Times New Roman"/>
          <w:lang w:val="en-US"/>
        </w:rPr>
        <w:t xml:space="preserve">Communication Studies Dept., Faculty of Social and Political Science, Universitas </w:t>
      </w:r>
      <w:proofErr w:type="spellStart"/>
      <w:r w:rsidRPr="00822617">
        <w:rPr>
          <w:rFonts w:ascii="Times New Roman" w:hAnsi="Times New Roman" w:cs="Times New Roman"/>
          <w:lang w:val="en-US"/>
        </w:rPr>
        <w:t>Mulawarman</w:t>
      </w:r>
      <w:proofErr w:type="spellEnd"/>
      <w:r w:rsidRPr="00822617">
        <w:rPr>
          <w:rFonts w:ascii="Times New Roman" w:hAnsi="Times New Roman" w:cs="Times New Roman"/>
          <w:lang w:val="en-US"/>
        </w:rPr>
        <w:t xml:space="preserve">, </w:t>
      </w:r>
      <w:proofErr w:type="spellStart"/>
      <w:r w:rsidRPr="00822617">
        <w:rPr>
          <w:rFonts w:ascii="Times New Roman" w:hAnsi="Times New Roman" w:cs="Times New Roman"/>
          <w:lang w:val="en-US"/>
        </w:rPr>
        <w:t>Samarinda</w:t>
      </w:r>
      <w:proofErr w:type="spellEnd"/>
      <w:r w:rsidRPr="00822617">
        <w:rPr>
          <w:rFonts w:ascii="Times New Roman" w:hAnsi="Times New Roman" w:cs="Times New Roman"/>
          <w:lang w:val="en-US"/>
        </w:rPr>
        <w:t>, Indonesia</w:t>
      </w:r>
    </w:p>
    <w:p w14:paraId="272C32F7" w14:textId="052062E8" w:rsidR="00640082" w:rsidRPr="00822617" w:rsidRDefault="00640082" w:rsidP="00822617">
      <w:pPr>
        <w:jc w:val="center"/>
        <w:rPr>
          <w:rFonts w:ascii="Times New Roman" w:hAnsi="Times New Roman" w:cs="Times New Roman"/>
          <w:lang w:val="en-US"/>
        </w:rPr>
      </w:pPr>
      <w:r w:rsidRPr="00822617">
        <w:rPr>
          <w:rFonts w:ascii="Times New Roman" w:hAnsi="Times New Roman" w:cs="Times New Roman"/>
          <w:lang w:val="en-US"/>
        </w:rPr>
        <w:t xml:space="preserve">Email: </w:t>
      </w:r>
      <w:hyperlink r:id="rId76" w:history="1">
        <w:r w:rsidRPr="00822617">
          <w:rPr>
            <w:rStyle w:val="Hyperlink"/>
            <w:rFonts w:ascii="Times New Roman" w:hAnsi="Times New Roman" w:cs="Times New Roman"/>
          </w:rPr>
          <w:t>rinajuwita@fisip.unmul.ac.id</w:t>
        </w:r>
      </w:hyperlink>
      <w:r w:rsidRPr="00822617">
        <w:rPr>
          <w:rFonts w:ascii="Times New Roman" w:hAnsi="Times New Roman" w:cs="Times New Roman"/>
          <w:lang w:val="en-US"/>
        </w:rPr>
        <w:t xml:space="preserve">  </w:t>
      </w:r>
    </w:p>
    <w:p w14:paraId="65ABF31D" w14:textId="1D4B3A5E" w:rsidR="00640082" w:rsidRPr="00822617" w:rsidRDefault="00640082" w:rsidP="009A4688">
      <w:pPr>
        <w:jc w:val="center"/>
        <w:rPr>
          <w:rFonts w:ascii="Times New Roman" w:hAnsi="Times New Roman" w:cs="Times New Roman"/>
          <w:b/>
          <w:bCs/>
          <w:lang w:val="en-US"/>
        </w:rPr>
      </w:pPr>
      <w:r w:rsidRPr="00822617">
        <w:rPr>
          <w:rFonts w:ascii="Times New Roman" w:hAnsi="Times New Roman" w:cs="Times New Roman"/>
          <w:b/>
          <w:bCs/>
          <w:lang w:val="en-US"/>
        </w:rPr>
        <w:t>Abstract</w:t>
      </w:r>
    </w:p>
    <w:p w14:paraId="12545C5C" w14:textId="3163E624" w:rsidR="00640082" w:rsidRPr="00822617" w:rsidRDefault="00640082" w:rsidP="00822617">
      <w:pPr>
        <w:ind w:left="426"/>
        <w:rPr>
          <w:rFonts w:ascii="Times New Roman" w:hAnsi="Times New Roman" w:cs="Times New Roman"/>
          <w:sz w:val="18"/>
          <w:szCs w:val="18"/>
        </w:rPr>
      </w:pPr>
      <w:r w:rsidRPr="00822617">
        <w:rPr>
          <w:rFonts w:ascii="Times New Roman" w:hAnsi="Times New Roman" w:cs="Times New Roman"/>
          <w:sz w:val="18"/>
          <w:szCs w:val="18"/>
          <w:lang w:val="en-US"/>
        </w:rPr>
        <w:t xml:space="preserve">As Artificial Intelligence (AI) continues to evolve, the question of whether AI can surpass human capabilities becomes increasingly relevant. This paper explores the potential and limitations of AI in replicating and exceeding human intelligence in the field of education, from cognitive tasks and decision making to creativity and emotional intelligence. While AI systems have demonstrated superiority in specific areas such as data processing, pattern recognition, and performing repetitive tasks, they face significant challenges in emulating uniquely human attributes like intuition, empathy, and ethical judgement. </w:t>
      </w:r>
      <w:r w:rsidRPr="00822617">
        <w:rPr>
          <w:rFonts w:ascii="Times New Roman" w:hAnsi="Times New Roman" w:cs="Times New Roman"/>
          <w:sz w:val="18"/>
          <w:szCs w:val="18"/>
        </w:rPr>
        <w:t>Through a systematic literature review</w:t>
      </w:r>
      <w:r w:rsidRPr="00822617">
        <w:rPr>
          <w:rFonts w:ascii="Times New Roman" w:hAnsi="Times New Roman" w:cs="Times New Roman"/>
          <w:b/>
          <w:bCs/>
          <w:sz w:val="18"/>
          <w:szCs w:val="18"/>
        </w:rPr>
        <w:t xml:space="preserve">, </w:t>
      </w:r>
      <w:r w:rsidRPr="00822617">
        <w:rPr>
          <w:rFonts w:ascii="Times New Roman" w:hAnsi="Times New Roman" w:cs="Times New Roman"/>
          <w:sz w:val="18"/>
          <w:szCs w:val="18"/>
          <w:lang w:val="en-US"/>
        </w:rPr>
        <w:t xml:space="preserve">this research delves into the future possibilities of AI’s development, examining whether technological advancements could lead to machines with the capacity to outperform humans in all aspects of intelligence. Moreover, the paper addresses the ethical implications of such advancements, including concerns about job displacement, human-AI collaboration, and the potential risks of AI autonomy. Through a balanced analysis, this paper argues that while AI may complement and enhance human capabilities, it is unlikely to fully replicate or replace the diverse range of human intelligence and creativity in the foreseeable future. </w:t>
      </w:r>
    </w:p>
    <w:p w14:paraId="4967EA19" w14:textId="77777777" w:rsidR="00640082" w:rsidRPr="00822617" w:rsidRDefault="00640082" w:rsidP="00822617">
      <w:pPr>
        <w:ind w:left="0" w:firstLine="357"/>
        <w:rPr>
          <w:rFonts w:ascii="Times New Roman" w:hAnsi="Times New Roman" w:cs="Times New Roman"/>
          <w:i/>
          <w:iCs/>
          <w:sz w:val="18"/>
          <w:szCs w:val="18"/>
          <w:lang w:val="en-US"/>
        </w:rPr>
      </w:pPr>
      <w:r w:rsidRPr="00822617">
        <w:rPr>
          <w:rFonts w:ascii="Times New Roman" w:hAnsi="Times New Roman" w:cs="Times New Roman"/>
          <w:b/>
          <w:bCs/>
          <w:i/>
          <w:iCs/>
          <w:sz w:val="18"/>
          <w:szCs w:val="18"/>
          <w:lang w:val="en-US"/>
        </w:rPr>
        <w:t>Keywords:</w:t>
      </w:r>
      <w:r w:rsidRPr="00822617">
        <w:rPr>
          <w:rFonts w:ascii="Times New Roman" w:hAnsi="Times New Roman" w:cs="Times New Roman"/>
          <w:sz w:val="18"/>
          <w:szCs w:val="18"/>
          <w:lang w:val="en-US"/>
        </w:rPr>
        <w:t xml:space="preserve"> </w:t>
      </w:r>
      <w:r w:rsidRPr="00822617">
        <w:rPr>
          <w:rFonts w:ascii="Times New Roman" w:hAnsi="Times New Roman" w:cs="Times New Roman"/>
          <w:i/>
          <w:iCs/>
          <w:sz w:val="18"/>
          <w:szCs w:val="18"/>
          <w:lang w:val="en-US"/>
        </w:rPr>
        <w:t>Artificial Intelligence; AI Limitations; AI Ethics; Human Capabilities; Machine Learning</w:t>
      </w:r>
    </w:p>
    <w:p w14:paraId="328C8F29" w14:textId="77777777" w:rsidR="00640082" w:rsidRPr="00972C58" w:rsidRDefault="00640082" w:rsidP="00A11187">
      <w:pPr>
        <w:rPr>
          <w:i/>
          <w:iCs/>
          <w:sz w:val="18"/>
          <w:szCs w:val="18"/>
          <w:lang w:val="en-US"/>
        </w:rPr>
      </w:pPr>
    </w:p>
    <w:p w14:paraId="555CD5B6" w14:textId="77777777" w:rsidR="00640082" w:rsidRPr="00043D40" w:rsidRDefault="00640082" w:rsidP="00822617">
      <w:pPr>
        <w:pStyle w:val="ListParagraph"/>
        <w:numPr>
          <w:ilvl w:val="0"/>
          <w:numId w:val="17"/>
        </w:numPr>
        <w:spacing w:after="0" w:line="240" w:lineRule="auto"/>
        <w:jc w:val="left"/>
        <w:rPr>
          <w:rFonts w:ascii="Times New Roman" w:hAnsi="Times New Roman" w:cs="Times New Roman"/>
          <w:b/>
          <w:bCs/>
          <w:sz w:val="24"/>
          <w:szCs w:val="24"/>
          <w:lang w:val="en-US"/>
        </w:rPr>
      </w:pPr>
      <w:r w:rsidRPr="00043D40">
        <w:rPr>
          <w:rFonts w:ascii="Times New Roman" w:hAnsi="Times New Roman" w:cs="Times New Roman"/>
          <w:b/>
          <w:bCs/>
          <w:sz w:val="24"/>
          <w:szCs w:val="24"/>
          <w:lang w:val="en-US"/>
        </w:rPr>
        <w:t>Introduction</w:t>
      </w:r>
    </w:p>
    <w:p w14:paraId="657F7B56"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The rapid advancement of Artificial Intelligence (AI) has ushered in a transformative era, permeating numerous fields, including education. This evolution is marked by the integration of AI-driven technologies that enhance efficiency, personalize learning experiences, and catalyze innovation in educational practices. The roots of AI development trace back to basic computational algorithms that have now matured into advanced systems capable of performing intricate tasks that once seemed exclusive to human intellect </w:t>
      </w:r>
      <w:r w:rsidRPr="00972C58">
        <w:rPr>
          <w:color w:val="000000"/>
          <w:sz w:val="20"/>
          <w:szCs w:val="20"/>
        </w:rPr>
        <w:fldChar w:fldCharType="begin"/>
      </w:r>
      <w:r w:rsidRPr="00972C58">
        <w:rPr>
          <w:color w:val="000000"/>
          <w:sz w:val="20"/>
          <w:szCs w:val="20"/>
        </w:rPr>
        <w:instrText xml:space="preserve"> ADDIN ZOTERO_ITEM CSL_CITATION {"citationID":"BstNzNh0","properties":{"formattedCitation":"(Wooldridge, 2021)","plainCitation":"(Wooldridge, 2021)","noteIndex":0},"citationItems":[{"id":913,"uris":["http://zotero.org/users/local/MvyTXXMq/items/KZJ33A4Y"],"itemData":{"id":913,"type":"book","event-place":"New York","publisher":"Flatiron Books","publisher-place":"New York","title":"A brief history of artificial intelligence: what it is, where we are, and where we are going.","author":[{"family":"Wooldridge","given":"M."}],"issued":{"date-parts":[["2021"]]}}}],"schema":"https://github.com/citation-style-language/schema/raw/master/csl-citation.json"} </w:instrText>
      </w:r>
      <w:r w:rsidRPr="00972C58">
        <w:rPr>
          <w:color w:val="000000"/>
          <w:sz w:val="20"/>
          <w:szCs w:val="20"/>
        </w:rPr>
        <w:fldChar w:fldCharType="separate"/>
      </w:r>
      <w:r w:rsidRPr="00972C58">
        <w:rPr>
          <w:noProof/>
          <w:color w:val="000000"/>
          <w:sz w:val="20"/>
          <w:szCs w:val="20"/>
        </w:rPr>
        <w:t>(Wooldridge, 2021)</w:t>
      </w:r>
      <w:r w:rsidRPr="00972C58">
        <w:rPr>
          <w:color w:val="000000"/>
          <w:sz w:val="20"/>
          <w:szCs w:val="20"/>
        </w:rPr>
        <w:fldChar w:fldCharType="end"/>
      </w:r>
      <w:r w:rsidRPr="00972C58">
        <w:rPr>
          <w:color w:val="000000"/>
          <w:sz w:val="20"/>
          <w:szCs w:val="20"/>
        </w:rPr>
        <w:t xml:space="preserve">. As we witness this unprecedented growth, pivotal questions emerge regarding AI’s potential to not only replicate but potentially surpass human cognitive capabilities. </w:t>
      </w:r>
    </w:p>
    <w:p w14:paraId="66AB7260"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In education, AI applications range from adaptive learning platforms to automated grading systems, proving that AI can indeed outperform humans in tasks that require consistency, data processing, and large-scale pattern recognition </w:t>
      </w:r>
      <w:r w:rsidRPr="00972C58">
        <w:rPr>
          <w:color w:val="000000"/>
          <w:sz w:val="20"/>
          <w:szCs w:val="20"/>
        </w:rPr>
        <w:fldChar w:fldCharType="begin"/>
      </w:r>
      <w:r w:rsidRPr="00972C58">
        <w:rPr>
          <w:color w:val="000000"/>
          <w:sz w:val="20"/>
          <w:szCs w:val="20"/>
        </w:rPr>
        <w:instrText xml:space="preserve"> ADDIN ZOTERO_ITEM CSL_CITATION {"citationID":"TLlnIWui","properties":{"formattedCitation":"(Halkiopoulos &amp; Gkintoni, 2024)","plainCitation":"(Halkiopoulos &amp; Gkintoni, 2024)","noteIndex":0},"citationItems":[{"id":914,"uris":["http://zotero.org/users/local/MvyTXXMq/items/CINE3RHC"],"itemData":{"id":914,"type":"article-journal","container-title":"Electronics","DOI":"https://doi.org/10.3390/electronics13183762","issue":"18","page":"3762","title":"Leveraging AI in e-learning: Personalized learning and adaptive assessment through cognitive neuropsychology—A systematic analysis","volume":"13","author":[{"family":"Halkiopoulos","given":"C."},{"family":"Gkintoni","given":"E."}],"issued":{"date-parts":[["2024"]]}}}],"schema":"https://github.com/citation-style-language/schema/raw/master/csl-citation.json"} </w:instrText>
      </w:r>
      <w:r w:rsidRPr="00972C58">
        <w:rPr>
          <w:color w:val="000000"/>
          <w:sz w:val="20"/>
          <w:szCs w:val="20"/>
        </w:rPr>
        <w:fldChar w:fldCharType="separate"/>
      </w:r>
      <w:r w:rsidRPr="00972C58">
        <w:rPr>
          <w:noProof/>
          <w:color w:val="000000"/>
          <w:sz w:val="20"/>
          <w:szCs w:val="20"/>
        </w:rPr>
        <w:t>(Halkiopoulos &amp; Gkintoni, 2024)</w:t>
      </w:r>
      <w:r w:rsidRPr="00972C58">
        <w:rPr>
          <w:color w:val="000000"/>
          <w:sz w:val="20"/>
          <w:szCs w:val="20"/>
        </w:rPr>
        <w:fldChar w:fldCharType="end"/>
      </w:r>
      <w:r w:rsidRPr="00972C58">
        <w:rPr>
          <w:color w:val="000000"/>
          <w:sz w:val="20"/>
          <w:szCs w:val="20"/>
        </w:rPr>
        <w:t xml:space="preserve">. Yet, these successes invite deeper scrutiny into whether AI can extend its dominance beyond mechanical and cognitive tasks to areas that require nuanced human attributes, such as creativity, empathy, and ethical decision-making. Current literature acknowledges the unmatched efficiency of AI in handling structured data, yet it also points to significant limitations in achieving a true replication of the human mind’s adaptive and context-sensitive nature </w:t>
      </w:r>
      <w:r w:rsidRPr="00972C58">
        <w:rPr>
          <w:color w:val="000000"/>
          <w:sz w:val="20"/>
          <w:szCs w:val="20"/>
        </w:rPr>
        <w:fldChar w:fldCharType="begin"/>
      </w:r>
      <w:r w:rsidRPr="00972C58">
        <w:rPr>
          <w:color w:val="000000"/>
          <w:sz w:val="20"/>
          <w:szCs w:val="20"/>
        </w:rPr>
        <w:instrText xml:space="preserve"> ADDIN ZOTERO_ITEM CSL_CITATION {"citationID":"xrxip6Gg","properties":{"formattedCitation":"(Markham et al., 2018)","plainCitation":"(Markham et al., 2018)","noteIndex":0},"citationItems":[{"id":915,"uris":["http://zotero.org/users/local/MvyTXXMq/items/AWZK2EJS"],"itemData":{"id":915,"type":"article-journal","container-title":"Social Media + Society","DOI":"https://doi.org/10.1177/2056305118784502","issue":"3","page":"2056305118784502","title":"Ethics as Methods: Doing Ethics in the Era of Big Data Research—Introduction.","volume":"4","author":[{"family":"Markham","given":"A.N."},{"family":"Tiidenberg","given":"K."},{"family":"Herman","given":"A."}],"issued":{"date-parts":[["2018"]]}}}],"schema":"https://github.com/citation-style-language/schema/raw/master/csl-citation.json"} </w:instrText>
      </w:r>
      <w:r w:rsidRPr="00972C58">
        <w:rPr>
          <w:color w:val="000000"/>
          <w:sz w:val="20"/>
          <w:szCs w:val="20"/>
        </w:rPr>
        <w:fldChar w:fldCharType="separate"/>
      </w:r>
      <w:r w:rsidRPr="00972C58">
        <w:rPr>
          <w:noProof/>
          <w:color w:val="000000"/>
          <w:sz w:val="20"/>
          <w:szCs w:val="20"/>
        </w:rPr>
        <w:t>(Markham et al., 2018)</w:t>
      </w:r>
      <w:r w:rsidRPr="00972C58">
        <w:rPr>
          <w:color w:val="000000"/>
          <w:sz w:val="20"/>
          <w:szCs w:val="20"/>
        </w:rPr>
        <w:fldChar w:fldCharType="end"/>
      </w:r>
      <w:r w:rsidRPr="00972C58">
        <w:rPr>
          <w:color w:val="000000"/>
          <w:sz w:val="20"/>
          <w:szCs w:val="20"/>
        </w:rPr>
        <w:t xml:space="preserve">. </w:t>
      </w:r>
    </w:p>
    <w:p w14:paraId="5A4FA870"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A particularly contentious aspect of AI’s development pertains to creativity and emotional intelligence. While AI systems, such as generative algorithms, have demonstrated capabilities in producing creative outputs like art and music, these achievements are often debated for their lack of genuine creative intent and context understanding </w:t>
      </w:r>
      <w:r w:rsidRPr="00972C58">
        <w:rPr>
          <w:color w:val="000000"/>
          <w:sz w:val="20"/>
          <w:szCs w:val="20"/>
        </w:rPr>
        <w:fldChar w:fldCharType="begin"/>
      </w:r>
      <w:r w:rsidRPr="00972C58">
        <w:rPr>
          <w:color w:val="000000"/>
          <w:sz w:val="20"/>
          <w:szCs w:val="20"/>
        </w:rPr>
        <w:instrText xml:space="preserve"> ADDIN ZOTERO_ITEM CSL_CITATION {"citationID":"EPh6UyA6","properties":{"formattedCitation":"(Anantrasirichai &amp; Bull, 2022)","plainCitation":"(Anantrasirichai &amp; Bull, 2022)","noteIndex":0},"citationItems":[{"id":916,"uris":["http://zotero.org/users/local/MvyTXXMq/items/SKXWWEZW"],"itemData":{"id":916,"type":"article-journal","container-title":"Artificial intelligence review","DOI":"https://doi.org/10.1007/s10462-021-10039-7","issue":"1","page":"589-656","title":"Artificial intelligence in the creative industries: a review.","volume":"55","author":[{"family":"Anantrasirichai","given":"N."},{"family":"Bull","given":"D."}],"issued":{"date-parts":[["2022"]]}}}],"schema":"https://github.com/citation-style-language/schema/raw/master/csl-citation.json"} </w:instrText>
      </w:r>
      <w:r w:rsidRPr="00972C58">
        <w:rPr>
          <w:color w:val="000000"/>
          <w:sz w:val="20"/>
          <w:szCs w:val="20"/>
        </w:rPr>
        <w:fldChar w:fldCharType="separate"/>
      </w:r>
      <w:r w:rsidRPr="00972C58">
        <w:rPr>
          <w:noProof/>
          <w:color w:val="000000"/>
          <w:sz w:val="20"/>
          <w:szCs w:val="20"/>
        </w:rPr>
        <w:t>(Anantrasirichai &amp; Bull, 2022)</w:t>
      </w:r>
      <w:r w:rsidRPr="00972C58">
        <w:rPr>
          <w:color w:val="000000"/>
          <w:sz w:val="20"/>
          <w:szCs w:val="20"/>
        </w:rPr>
        <w:fldChar w:fldCharType="end"/>
      </w:r>
      <w:r w:rsidRPr="00972C58">
        <w:rPr>
          <w:color w:val="000000"/>
          <w:sz w:val="20"/>
          <w:szCs w:val="20"/>
        </w:rPr>
        <w:t xml:space="preserve">. Similarly, AI’s attempts to emulate emotional intelligence remain rudimentary. Despite advancements in natural language processing (NLP) and machine learning models that simulate empathetic responses, true emotional intelligence necessitates an intricate understanding of human experiences and values that AI currently lacks </w:t>
      </w:r>
      <w:r w:rsidRPr="00972C58">
        <w:rPr>
          <w:color w:val="000000"/>
          <w:sz w:val="20"/>
          <w:szCs w:val="20"/>
        </w:rPr>
        <w:fldChar w:fldCharType="begin"/>
      </w:r>
      <w:r w:rsidRPr="00972C58">
        <w:rPr>
          <w:color w:val="000000"/>
          <w:sz w:val="20"/>
          <w:szCs w:val="20"/>
        </w:rPr>
        <w:instrText xml:space="preserve"> ADDIN ZOTERO_ITEM CSL_CITATION {"citationID":"4gwHmMwu","properties":{"formattedCitation":"(Singh et al., 2024)","plainCitation":"(Singh et al., 2024)","noteIndex":0},"citationItems":[{"id":917,"uris":["http://zotero.org/users/local/MvyTXXMq/items/U4TTAZ6U"],"itemData":{"id":917,"type":"article-journal","container-title":"Asian Journal of Current Research","DOI":"http://dx.doi.org/10.56557/ajocr/2024/v9i48860","issue":"4","page":"36-50","title":"The Human Touch in the Age of Artificial Intelligence: A Literature Review on the Interplay of Emotional Intelligence and AI","volume":"9","author":[{"family":"Singh","given":"A."},{"family":"Saxena","given":"R."},{"family":"Saxena","given":"S."}],"issued":{"date-parts":[["2024"]]}}}],"schema":"https://github.com/citation-style-language/schema/raw/master/csl-citation.json"} </w:instrText>
      </w:r>
      <w:r w:rsidRPr="00972C58">
        <w:rPr>
          <w:color w:val="000000"/>
          <w:sz w:val="20"/>
          <w:szCs w:val="20"/>
        </w:rPr>
        <w:fldChar w:fldCharType="separate"/>
      </w:r>
      <w:r w:rsidRPr="00972C58">
        <w:rPr>
          <w:noProof/>
          <w:color w:val="000000"/>
          <w:sz w:val="20"/>
          <w:szCs w:val="20"/>
        </w:rPr>
        <w:t>(Singh et al., 2024)</w:t>
      </w:r>
      <w:r w:rsidRPr="00972C58">
        <w:rPr>
          <w:color w:val="000000"/>
          <w:sz w:val="20"/>
          <w:szCs w:val="20"/>
        </w:rPr>
        <w:fldChar w:fldCharType="end"/>
      </w:r>
      <w:r w:rsidRPr="00972C58">
        <w:rPr>
          <w:color w:val="000000"/>
          <w:sz w:val="20"/>
          <w:szCs w:val="20"/>
        </w:rPr>
        <w:t>. This raises the essential question: can AI progress to a stage where it comprehensively encompasses these deeper, uniquely human capabilities?</w:t>
      </w:r>
    </w:p>
    <w:p w14:paraId="3CFDA92E"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This study delves into the theoretical and practical boundaries of AI in relation to human intelligence. It highlights that while AI is adept at augmenting human productivity and supporting decision-making processes through enhanced data analytics, it falters when faced with tasks that require moral judgements or empathetic reasoning </w:t>
      </w:r>
      <w:r w:rsidRPr="00972C58">
        <w:rPr>
          <w:color w:val="000000"/>
          <w:sz w:val="20"/>
          <w:szCs w:val="20"/>
        </w:rPr>
        <w:fldChar w:fldCharType="begin"/>
      </w:r>
      <w:r w:rsidRPr="00972C58">
        <w:rPr>
          <w:color w:val="000000"/>
          <w:sz w:val="20"/>
          <w:szCs w:val="20"/>
        </w:rPr>
        <w:instrText xml:space="preserve"> ADDIN ZOTERO_ITEM CSL_CITATION {"citationID":"ykdswB7M","properties":{"formattedCitation":"(George, 2024)","plainCitation":"(George, 2024)","noteIndex":0},"citationItems":[{"id":918,"uris":["http://zotero.org/users/local/MvyTXXMq/items/APGBYEPF"],"itemData":{"id":918,"type":"article-journal","container-title":"Partners Universal Multidisciplinary Research Journal","DOI":"https://doi.org/10.5281/zenodo.12746525","issue":"2","page":"1-25","title":"The Evolution of Economic Models: From Knowledge to Intuition and Optimization.","volume":"1","author":[{"family":"George","given":"A.S."}],"issued":{"date-parts":[["2024"]]}}}],"schema":"https://github.com/citation-style-language/schema/raw/master/csl-citation.json"} </w:instrText>
      </w:r>
      <w:r w:rsidRPr="00972C58">
        <w:rPr>
          <w:color w:val="000000"/>
          <w:sz w:val="20"/>
          <w:szCs w:val="20"/>
        </w:rPr>
        <w:fldChar w:fldCharType="separate"/>
      </w:r>
      <w:r w:rsidRPr="00972C58">
        <w:rPr>
          <w:noProof/>
          <w:color w:val="000000"/>
          <w:sz w:val="20"/>
          <w:szCs w:val="20"/>
        </w:rPr>
        <w:t>(George, 2024)</w:t>
      </w:r>
      <w:r w:rsidRPr="00972C58">
        <w:rPr>
          <w:color w:val="000000"/>
          <w:sz w:val="20"/>
          <w:szCs w:val="20"/>
        </w:rPr>
        <w:fldChar w:fldCharType="end"/>
      </w:r>
      <w:r w:rsidRPr="00972C58">
        <w:rPr>
          <w:color w:val="000000"/>
          <w:sz w:val="20"/>
          <w:szCs w:val="20"/>
        </w:rPr>
        <w:t xml:space="preserve">. The ability to apply intuition and subjective judgement, especially in complex social or ethical situations, continues to set humans apart from even the most sophisticated AI systems. This distinction is particularly significant in education, where teachers not only impart knowledge but also mentor, inspire, and adapt teaching methods to suit diverse student needs -abilities that remain beyond the scope of AI’s current and foreseeable capabilities. </w:t>
      </w:r>
    </w:p>
    <w:p w14:paraId="6A50110A"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Understanding the limits of AI’s potential prompts an investigation into the broader ethical and societal implications of its expansion. Concerns surrounding job displacement, biases in algorithmic decision-making, and issues of autonomy are ever more pressing as AI systems gain agency in various sectors </w:t>
      </w:r>
      <w:r w:rsidRPr="00972C58">
        <w:rPr>
          <w:color w:val="000000"/>
          <w:sz w:val="20"/>
          <w:szCs w:val="20"/>
        </w:rPr>
        <w:fldChar w:fldCharType="begin"/>
      </w:r>
      <w:r w:rsidRPr="00972C58">
        <w:rPr>
          <w:color w:val="000000"/>
          <w:sz w:val="20"/>
          <w:szCs w:val="20"/>
        </w:rPr>
        <w:instrText xml:space="preserve"> ADDIN ZOTERO_ITEM CSL_CITATION {"citationID":"SaNtOXQe","properties":{"formattedCitation":"(Scherer, 2015)","plainCitation":"(Scherer, 2015)","noteIndex":0},"citationItems":[{"id":919,"uris":["http://zotero.org/users/local/MvyTXXMq/items/FC3ZHXRZ"],"itemData":{"id":919,"type":"article-journal","container-title":"Harvard Journal of Law &amp; Technology","issue":"2","page":"353","title":"Regulating artificial intelligence systems: Risks, challenges, competencies, and strategies.","volume":"29","author":[{"family":"Scherer","given":"M. U."}],"issued":{"date-parts":[["2015"]]}}}],"schema":"https://github.com/citation-style-language/schema/raw/master/csl-citation.json"} </w:instrText>
      </w:r>
      <w:r w:rsidRPr="00972C58">
        <w:rPr>
          <w:color w:val="000000"/>
          <w:sz w:val="20"/>
          <w:szCs w:val="20"/>
        </w:rPr>
        <w:fldChar w:fldCharType="separate"/>
      </w:r>
      <w:r w:rsidRPr="00972C58">
        <w:rPr>
          <w:noProof/>
          <w:color w:val="000000"/>
          <w:sz w:val="20"/>
          <w:szCs w:val="20"/>
        </w:rPr>
        <w:t>(Scherer, 2015)</w:t>
      </w:r>
      <w:r w:rsidRPr="00972C58">
        <w:rPr>
          <w:color w:val="000000"/>
          <w:sz w:val="20"/>
          <w:szCs w:val="20"/>
        </w:rPr>
        <w:fldChar w:fldCharType="end"/>
      </w:r>
      <w:r w:rsidRPr="00972C58">
        <w:rPr>
          <w:color w:val="000000"/>
          <w:sz w:val="20"/>
          <w:szCs w:val="20"/>
        </w:rPr>
        <w:t xml:space="preserve">. In education, the potential for AI to replace certain roles or create dependency on automated systems necessitates a dialogue about how best to integrate these technologies without eroding the inherently human components of teaching and learning. </w:t>
      </w:r>
    </w:p>
    <w:p w14:paraId="1CAAA9D7"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Despite these challenges, the benefits of human-AI collaboration are profound. AI’s capacity to manage vast amounts of data can empower educators to make informed decisions, personalize learning at an unprecedented scale, and free up time for more complex educational engagements that require human interaction. This synergy presents a future where AI acts as an enhancer rather than a replacer of human intelligence </w:t>
      </w:r>
      <w:r w:rsidRPr="00972C58">
        <w:rPr>
          <w:color w:val="000000"/>
          <w:sz w:val="20"/>
          <w:szCs w:val="20"/>
        </w:rPr>
        <w:fldChar w:fldCharType="begin"/>
      </w:r>
      <w:r w:rsidRPr="00972C58">
        <w:rPr>
          <w:color w:val="000000"/>
          <w:sz w:val="20"/>
          <w:szCs w:val="20"/>
        </w:rPr>
        <w:instrText xml:space="preserve"> ADDIN ZOTERO_ITEM CSL_CITATION {"citationID":"TLl6DMEW","properties":{"formattedCitation":"(Hassani et al., 2020)","plainCitation":"(Hassani et al., 2020)","noteIndex":0},"citationItems":[{"id":920,"uris":["http://zotero.org/users/local/MvyTXXMq/items/XL7IDKTA"],"itemData":{"id":920,"type":"article-journal","container-title":"AI","DOI":"https://doi.org/10.3390/ai1020008","issue":"2","page":"143-155","title":"Artificial intelligence (AI) or intelligence augmentation (IA): what is the future?","volume":"1","author":[{"family":"Hassani","given":"H."},{"family":"Silva","given":"E. S."},{"family":"Unger","given":"S."},{"family":"TajMazinani","given":"M."},{"family":"Mac Feely","given":"S."}],"issued":{"date-parts":[["2020"]]}}}],"schema":"https://github.com/citation-style-language/schema/raw/master/csl-citation.json"} </w:instrText>
      </w:r>
      <w:r w:rsidRPr="00972C58">
        <w:rPr>
          <w:color w:val="000000"/>
          <w:sz w:val="20"/>
          <w:szCs w:val="20"/>
        </w:rPr>
        <w:fldChar w:fldCharType="separate"/>
      </w:r>
      <w:r w:rsidRPr="00972C58">
        <w:rPr>
          <w:noProof/>
          <w:color w:val="000000"/>
          <w:sz w:val="20"/>
          <w:szCs w:val="20"/>
        </w:rPr>
        <w:t>(Hassani et al., 2020)</w:t>
      </w:r>
      <w:r w:rsidRPr="00972C58">
        <w:rPr>
          <w:color w:val="000000"/>
          <w:sz w:val="20"/>
          <w:szCs w:val="20"/>
        </w:rPr>
        <w:fldChar w:fldCharType="end"/>
      </w:r>
      <w:r w:rsidRPr="00972C58">
        <w:rPr>
          <w:color w:val="000000"/>
          <w:sz w:val="20"/>
          <w:szCs w:val="20"/>
        </w:rPr>
        <w:t xml:space="preserve">. However, ensuring that such integration aligns with ethical principles and amplifies human potential without undermining it requires comprehensive governance and ongoing critical assessments. </w:t>
      </w:r>
    </w:p>
    <w:p w14:paraId="5A426496" w14:textId="77777777" w:rsidR="00640082" w:rsidRPr="00972C58" w:rsidRDefault="00640082" w:rsidP="00C93575">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This paper aims to address these fundamental concerns by evaluating the extent to which AI might surpass or merely complement human intelligence, particularly within educational contexts. The core argument presented is that, while AI systems can surpass human abilities in specific, narrowly defined tasks, they are unlikely to replicate the full spectrum of human intelligence. The study contributes to discourse by integrating insights from both the capabilities and ethical implications of AI, positing that AI’s role should be seen as supportive rather than entirely substitutive. </w:t>
      </w:r>
    </w:p>
    <w:p w14:paraId="4019B345" w14:textId="77777777" w:rsidR="00640082" w:rsidRPr="00972C58" w:rsidRDefault="00640082" w:rsidP="004351EA">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As the boundary between human and artificial intelligence continues to blur, understanding both the capabilities and limitations of AI is critical. This work positions itself within the broader body of literature by advancing the argument that the trajectory of AI should not aim for mere replication of human intelligence but rather for the development of technologies that complement and enhance human efforts. As we move forward ensuring that AI development is aligned with societal values will be key to fostering an era where technology and humanity co-evolve in harmony. This research thus sets the stage for exploring the dynamic interplay between AI advancements and human-centric ethics in education and beyond. </w:t>
      </w:r>
    </w:p>
    <w:p w14:paraId="34FF43AC" w14:textId="77777777" w:rsidR="00640082" w:rsidRPr="00972C58" w:rsidRDefault="00640082" w:rsidP="00C93575">
      <w:pPr>
        <w:pStyle w:val="NormalWeb"/>
        <w:spacing w:before="0" w:beforeAutospacing="0" w:after="0" w:afterAutospacing="0"/>
        <w:ind w:left="720" w:firstLine="720"/>
        <w:jc w:val="both"/>
        <w:rPr>
          <w:color w:val="000000"/>
          <w:sz w:val="20"/>
          <w:szCs w:val="20"/>
        </w:rPr>
      </w:pPr>
    </w:p>
    <w:p w14:paraId="3FD3DCA6" w14:textId="77777777" w:rsidR="00640082" w:rsidRPr="00043D40" w:rsidRDefault="00640082" w:rsidP="00822617">
      <w:pPr>
        <w:pStyle w:val="ListParagraph"/>
        <w:numPr>
          <w:ilvl w:val="0"/>
          <w:numId w:val="17"/>
        </w:numPr>
        <w:spacing w:after="0" w:line="240" w:lineRule="auto"/>
        <w:jc w:val="left"/>
        <w:rPr>
          <w:rFonts w:ascii="Times New Roman" w:hAnsi="Times New Roman" w:cs="Times New Roman"/>
          <w:b/>
          <w:bCs/>
          <w:sz w:val="24"/>
          <w:szCs w:val="24"/>
          <w:lang w:val="en-US"/>
        </w:rPr>
      </w:pPr>
      <w:r w:rsidRPr="00043D40">
        <w:rPr>
          <w:rFonts w:ascii="Times New Roman" w:hAnsi="Times New Roman" w:cs="Times New Roman"/>
          <w:b/>
          <w:bCs/>
          <w:sz w:val="24"/>
          <w:szCs w:val="24"/>
          <w:lang w:val="en-US"/>
        </w:rPr>
        <w:t xml:space="preserve">Methods </w:t>
      </w:r>
    </w:p>
    <w:p w14:paraId="3DC4AADD" w14:textId="77777777" w:rsidR="00640082" w:rsidRPr="00064125" w:rsidRDefault="00640082" w:rsidP="007E03ED">
      <w:pPr>
        <w:ind w:left="717" w:firstLine="363"/>
        <w:rPr>
          <w:rFonts w:ascii="Times New Roman" w:hAnsi="Times New Roman" w:cs="Times New Roman"/>
          <w:sz w:val="20"/>
          <w:szCs w:val="20"/>
          <w:lang w:val="en-US"/>
        </w:rPr>
      </w:pPr>
      <w:r w:rsidRPr="00064125">
        <w:rPr>
          <w:rFonts w:ascii="Times New Roman" w:hAnsi="Times New Roman" w:cs="Times New Roman"/>
          <w:sz w:val="20"/>
          <w:szCs w:val="20"/>
          <w:lang w:val="en-US"/>
        </w:rPr>
        <w:t>In conducting this comprehensive literature review, the authors employed a structured and systematic approach to ensure the inclusion of high-quality and reliable sources relevant to AI capabilities in cognitive tasks, decision-making, creativity, and emotional intelligence within the context of education. The process began with an extensive search in academic databases such as IEEE Xplore, SpringerLink, and ScienceDirect, as well as reputable journals. Keywords used included combinations of “AI in education,”, “AI cognitive capabilities,” “AI and creativity,” “emotional intelligence in AI,” and “decision-making in AI systems.” These search terms were tailored to retrieve peer-reviewed articles, conference papers, and authoritative book chapters from the last decade, ensuring up-to-date data that analyzed was relevant to current technological development (Brown &amp; Bell, 2018).</w:t>
      </w:r>
    </w:p>
    <w:p w14:paraId="3CDBC2F7" w14:textId="77777777" w:rsidR="00640082" w:rsidRPr="00064125" w:rsidRDefault="00640082" w:rsidP="007E03ED">
      <w:pPr>
        <w:ind w:left="717" w:firstLine="363"/>
        <w:rPr>
          <w:rFonts w:ascii="Times New Roman" w:hAnsi="Times New Roman" w:cs="Times New Roman"/>
          <w:sz w:val="20"/>
          <w:szCs w:val="20"/>
          <w:lang w:val="en-US"/>
        </w:rPr>
      </w:pPr>
      <w:r w:rsidRPr="00064125">
        <w:rPr>
          <w:rFonts w:ascii="Times New Roman" w:hAnsi="Times New Roman" w:cs="Times New Roman"/>
          <w:sz w:val="20"/>
          <w:szCs w:val="20"/>
          <w:lang w:val="en-US"/>
        </w:rPr>
        <w:t>Once the data was collected, we utilized an inclusion criterion that emphasized studies focusing on both theoretical and practical applications of AI in formal educational environment settings, specifically upper secondary and higher education levels. Each selected source was meticulously reviewed and coded for thematic elements using qualitative data analysis software, NVivo 12. This coding process facilitated the categorization of findings into subtopics, which included AI’s performance in structured cognitive tasks, limitations in replicating creative and emotional intelligence, and ethical implications of AI applications in decision-making processes (Kim et al., 2022). This thematic analysis enabled the comparison of different perspectives and results, allowing for a nuanced synthesis that highlighted key contrasts and convergences in literature.</w:t>
      </w:r>
    </w:p>
    <w:p w14:paraId="55D36009" w14:textId="77777777" w:rsidR="00640082" w:rsidRPr="00064125" w:rsidRDefault="00640082" w:rsidP="007E03ED">
      <w:pPr>
        <w:ind w:left="717" w:firstLine="363"/>
        <w:rPr>
          <w:rFonts w:ascii="Times New Roman" w:hAnsi="Times New Roman" w:cs="Times New Roman"/>
          <w:sz w:val="20"/>
          <w:szCs w:val="20"/>
          <w:lang w:val="en-US"/>
        </w:rPr>
      </w:pPr>
      <w:r w:rsidRPr="00064125">
        <w:rPr>
          <w:rFonts w:ascii="Times New Roman" w:hAnsi="Times New Roman" w:cs="Times New Roman"/>
          <w:sz w:val="20"/>
          <w:szCs w:val="20"/>
          <w:lang w:val="en-US"/>
        </w:rPr>
        <w:t xml:space="preserve">Finally, cross-referencing was conducted to identify potential gaps and consistencies across studies. Comparative tables were created to visualize differences in research methodologies and outcomes, enhancing the reliability of our interpretations. This methodological rigor ensured that the review provides a balanced and comprehensive overview of existing research and lays the foundation for discussing novel insights into the capabilities and limitations of AI in education (Abulibdeh et al., 2024). The implications of these findings suggest the need to combine AI with human skills to achieve optimal teaching and learning processes in education. By detailing the selection and analysis methods, we aimed to provide readers with clear and transparent pathways to understanding the scope and depth of the current investigation. </w:t>
      </w:r>
    </w:p>
    <w:p w14:paraId="29181F19" w14:textId="77777777" w:rsidR="00640082" w:rsidRPr="00972C58" w:rsidRDefault="00640082" w:rsidP="00E36892">
      <w:pPr>
        <w:ind w:left="717" w:firstLine="363"/>
        <w:rPr>
          <w:sz w:val="20"/>
          <w:szCs w:val="20"/>
          <w:lang w:val="en-US"/>
        </w:rPr>
      </w:pPr>
    </w:p>
    <w:p w14:paraId="1D6DD627" w14:textId="77777777" w:rsidR="00640082" w:rsidRPr="00043D40" w:rsidRDefault="00640082" w:rsidP="00822617">
      <w:pPr>
        <w:pStyle w:val="ListParagraph"/>
        <w:numPr>
          <w:ilvl w:val="0"/>
          <w:numId w:val="17"/>
        </w:numPr>
        <w:spacing w:after="0" w:line="240" w:lineRule="auto"/>
        <w:jc w:val="left"/>
        <w:rPr>
          <w:rFonts w:ascii="Times New Roman" w:hAnsi="Times New Roman" w:cs="Times New Roman"/>
          <w:b/>
          <w:bCs/>
          <w:sz w:val="24"/>
          <w:szCs w:val="24"/>
          <w:lang w:val="en-US"/>
        </w:rPr>
      </w:pPr>
      <w:r w:rsidRPr="00043D40">
        <w:rPr>
          <w:rFonts w:ascii="Times New Roman" w:hAnsi="Times New Roman" w:cs="Times New Roman"/>
          <w:b/>
          <w:bCs/>
          <w:sz w:val="24"/>
          <w:szCs w:val="24"/>
          <w:lang w:val="en-US"/>
        </w:rPr>
        <w:t xml:space="preserve">Results and Discussion </w:t>
      </w:r>
    </w:p>
    <w:p w14:paraId="19BD685E" w14:textId="77777777" w:rsidR="00640082" w:rsidRPr="00972C58" w:rsidRDefault="00640082" w:rsidP="00DF4402">
      <w:pPr>
        <w:pStyle w:val="ListParagraph"/>
        <w:ind w:left="717"/>
        <w:rPr>
          <w:b/>
          <w:bCs/>
          <w:lang w:val="en-US"/>
        </w:rPr>
      </w:pPr>
    </w:p>
    <w:p w14:paraId="12599B98" w14:textId="77777777" w:rsidR="00640082" w:rsidRPr="00972C58" w:rsidRDefault="00640082" w:rsidP="00E1677F">
      <w:pPr>
        <w:pStyle w:val="NormalWeb"/>
        <w:spacing w:before="0" w:beforeAutospacing="0" w:after="0" w:afterAutospacing="0"/>
        <w:ind w:left="717"/>
        <w:jc w:val="both"/>
        <w:rPr>
          <w:b/>
          <w:bCs/>
          <w:color w:val="000000"/>
          <w:sz w:val="20"/>
          <w:szCs w:val="20"/>
        </w:rPr>
      </w:pPr>
      <w:r w:rsidRPr="00972C58">
        <w:rPr>
          <w:b/>
          <w:bCs/>
          <w:color w:val="000000"/>
          <w:sz w:val="20"/>
          <w:szCs w:val="20"/>
        </w:rPr>
        <w:t>AI Strengths in Education</w:t>
      </w:r>
    </w:p>
    <w:p w14:paraId="12B2C799" w14:textId="77777777" w:rsidR="00640082" w:rsidRPr="00972C58" w:rsidRDefault="00640082" w:rsidP="00E1677F">
      <w:pPr>
        <w:pStyle w:val="NormalWeb"/>
        <w:spacing w:before="0" w:beforeAutospacing="0" w:after="0" w:afterAutospacing="0"/>
        <w:ind w:left="717"/>
        <w:jc w:val="both"/>
        <w:rPr>
          <w:color w:val="000000"/>
          <w:sz w:val="20"/>
          <w:szCs w:val="20"/>
        </w:rPr>
      </w:pPr>
    </w:p>
    <w:p w14:paraId="6FA006F4" w14:textId="77777777" w:rsidR="00640082" w:rsidRPr="00972C58" w:rsidRDefault="00640082" w:rsidP="005F7197">
      <w:pPr>
        <w:pStyle w:val="NormalWeb"/>
        <w:spacing w:before="0" w:beforeAutospacing="0" w:after="0" w:afterAutospacing="0"/>
        <w:ind w:left="717"/>
        <w:jc w:val="center"/>
        <w:rPr>
          <w:color w:val="000000"/>
          <w:sz w:val="20"/>
          <w:szCs w:val="20"/>
        </w:rPr>
      </w:pPr>
      <w:r w:rsidRPr="00972C58">
        <w:rPr>
          <w:b/>
          <w:bCs/>
          <w:sz w:val="20"/>
          <w:szCs w:val="20"/>
        </w:rPr>
        <w:t>Table</w:t>
      </w:r>
      <w:r w:rsidRPr="00972C58">
        <w:rPr>
          <w:b/>
          <w:bCs/>
          <w:spacing w:val="-4"/>
          <w:sz w:val="20"/>
          <w:szCs w:val="20"/>
        </w:rPr>
        <w:t xml:space="preserve"> </w:t>
      </w:r>
      <w:r w:rsidRPr="00972C58">
        <w:rPr>
          <w:b/>
          <w:bCs/>
          <w:sz w:val="20"/>
          <w:szCs w:val="20"/>
        </w:rPr>
        <w:t>1.</w:t>
      </w:r>
      <w:r w:rsidRPr="00972C58">
        <w:rPr>
          <w:spacing w:val="-4"/>
          <w:sz w:val="20"/>
          <w:szCs w:val="20"/>
        </w:rPr>
        <w:t xml:space="preserve"> </w:t>
      </w:r>
      <w:r w:rsidRPr="00972C58">
        <w:rPr>
          <w:sz w:val="20"/>
          <w:szCs w:val="20"/>
        </w:rPr>
        <w:t>AI in Education Study Summary</w:t>
      </w:r>
    </w:p>
    <w:tbl>
      <w:tblPr>
        <w:tblW w:w="7789" w:type="dxa"/>
        <w:jc w:val="center"/>
        <w:tblCellMar>
          <w:left w:w="0" w:type="dxa"/>
          <w:right w:w="0" w:type="dxa"/>
        </w:tblCellMar>
        <w:tblLook w:val="04A0" w:firstRow="1" w:lastRow="0" w:firstColumn="1" w:lastColumn="0" w:noHBand="0" w:noVBand="1"/>
      </w:tblPr>
      <w:tblGrid>
        <w:gridCol w:w="1635"/>
        <w:gridCol w:w="3271"/>
        <w:gridCol w:w="2883"/>
      </w:tblGrid>
      <w:tr w:rsidR="00640082" w:rsidRPr="00972C58" w14:paraId="45127F4E" w14:textId="77777777" w:rsidTr="005F7197">
        <w:trPr>
          <w:trHeight w:val="165"/>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937BEB1" w14:textId="77777777" w:rsidR="00640082" w:rsidRPr="00972C58" w:rsidRDefault="00640082" w:rsidP="005F7197">
            <w:pPr>
              <w:pStyle w:val="NormalWeb"/>
              <w:ind w:left="717" w:hanging="646"/>
              <w:jc w:val="center"/>
              <w:rPr>
                <w:color w:val="000000"/>
                <w:sz w:val="16"/>
                <w:szCs w:val="16"/>
              </w:rPr>
            </w:pPr>
            <w:r w:rsidRPr="00972C58">
              <w:rPr>
                <w:b/>
                <w:bCs/>
                <w:color w:val="000000"/>
                <w:sz w:val="16"/>
                <w:szCs w:val="16"/>
              </w:rPr>
              <w:t>Study/Research</w:t>
            </w:r>
          </w:p>
        </w:tc>
        <w:tc>
          <w:tcPr>
            <w:tcW w:w="327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A9B767A" w14:textId="77777777" w:rsidR="00640082" w:rsidRPr="00972C58" w:rsidRDefault="00640082" w:rsidP="005F7197">
            <w:pPr>
              <w:pStyle w:val="NormalWeb"/>
              <w:ind w:left="717" w:firstLine="720"/>
              <w:jc w:val="both"/>
              <w:rPr>
                <w:color w:val="000000"/>
                <w:sz w:val="16"/>
                <w:szCs w:val="16"/>
              </w:rPr>
            </w:pPr>
            <w:r w:rsidRPr="00972C58">
              <w:rPr>
                <w:b/>
                <w:bCs/>
                <w:color w:val="000000"/>
                <w:sz w:val="16"/>
                <w:szCs w:val="16"/>
              </w:rPr>
              <w:t>Focus</w:t>
            </w:r>
          </w:p>
        </w:tc>
        <w:tc>
          <w:tcPr>
            <w:tcW w:w="288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91CE88E" w14:textId="77777777" w:rsidR="00640082" w:rsidRPr="00972C58" w:rsidRDefault="00640082" w:rsidP="005F7197">
            <w:pPr>
              <w:pStyle w:val="NormalWeb"/>
              <w:ind w:left="717" w:firstLine="720"/>
              <w:jc w:val="both"/>
              <w:rPr>
                <w:color w:val="000000"/>
                <w:sz w:val="16"/>
                <w:szCs w:val="16"/>
              </w:rPr>
            </w:pPr>
            <w:r w:rsidRPr="00972C58">
              <w:rPr>
                <w:b/>
                <w:bCs/>
                <w:color w:val="000000"/>
                <w:sz w:val="16"/>
                <w:szCs w:val="16"/>
              </w:rPr>
              <w:t>Key Findings</w:t>
            </w:r>
          </w:p>
        </w:tc>
      </w:tr>
      <w:tr w:rsidR="00640082" w:rsidRPr="00972C58" w14:paraId="185FC34E" w14:textId="77777777" w:rsidTr="005F7197">
        <w:trPr>
          <w:trHeight w:val="180"/>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AAA681" w14:textId="77777777" w:rsidR="00640082" w:rsidRPr="00972C58" w:rsidRDefault="00640082" w:rsidP="005F7197">
            <w:pPr>
              <w:pStyle w:val="NormalWeb"/>
              <w:ind w:left="71" w:right="-62"/>
              <w:rPr>
                <w:color w:val="000000"/>
                <w:sz w:val="16"/>
                <w:szCs w:val="16"/>
              </w:rPr>
            </w:pPr>
            <w:proofErr w:type="spellStart"/>
            <w:r w:rsidRPr="00972C58">
              <w:rPr>
                <w:b/>
                <w:bCs/>
                <w:color w:val="000000"/>
                <w:sz w:val="16"/>
                <w:szCs w:val="16"/>
              </w:rPr>
              <w:t>Yufeia</w:t>
            </w:r>
            <w:proofErr w:type="spellEnd"/>
            <w:r w:rsidRPr="00972C58">
              <w:rPr>
                <w:b/>
                <w:bCs/>
                <w:color w:val="000000"/>
                <w:sz w:val="16"/>
                <w:szCs w:val="16"/>
              </w:rPr>
              <w:t xml:space="preserve"> et al. (2020)</w:t>
            </w:r>
          </w:p>
        </w:tc>
        <w:tc>
          <w:tcPr>
            <w:tcW w:w="32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29488" w14:textId="77777777" w:rsidR="00640082" w:rsidRPr="00972C58" w:rsidRDefault="00640082" w:rsidP="005F7197">
            <w:pPr>
              <w:pStyle w:val="NormalWeb"/>
              <w:ind w:left="13" w:hanging="13"/>
              <w:jc w:val="both"/>
              <w:rPr>
                <w:color w:val="000000"/>
                <w:sz w:val="16"/>
                <w:szCs w:val="16"/>
              </w:rPr>
            </w:pPr>
            <w:r w:rsidRPr="00972C58">
              <w:rPr>
                <w:color w:val="000000"/>
                <w:sz w:val="16"/>
                <w:szCs w:val="16"/>
              </w:rPr>
              <w:t>Optimizing educational structures through tailored content delivery</w:t>
            </w:r>
          </w:p>
        </w:tc>
        <w:tc>
          <w:tcPr>
            <w:tcW w:w="2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8EE03" w14:textId="77777777" w:rsidR="00640082" w:rsidRPr="00972C58" w:rsidRDefault="00640082" w:rsidP="005F7197">
            <w:pPr>
              <w:pStyle w:val="NormalWeb"/>
              <w:ind w:left="16" w:hanging="11"/>
              <w:jc w:val="both"/>
              <w:rPr>
                <w:color w:val="000000"/>
                <w:sz w:val="16"/>
                <w:szCs w:val="16"/>
              </w:rPr>
            </w:pPr>
            <w:r w:rsidRPr="00972C58">
              <w:rPr>
                <w:color w:val="000000"/>
                <w:sz w:val="16"/>
                <w:szCs w:val="16"/>
              </w:rPr>
              <w:t>Improved learning outcomes and tailored pace adjustment</w:t>
            </w:r>
          </w:p>
        </w:tc>
      </w:tr>
      <w:tr w:rsidR="00640082" w:rsidRPr="00972C58" w14:paraId="53D469D9" w14:textId="77777777" w:rsidTr="005F7197">
        <w:trPr>
          <w:trHeight w:val="165"/>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D4557D" w14:textId="77777777" w:rsidR="00640082" w:rsidRPr="00972C58" w:rsidRDefault="00640082" w:rsidP="005F7197">
            <w:pPr>
              <w:pStyle w:val="NormalWeb"/>
              <w:ind w:left="71" w:right="-62"/>
              <w:rPr>
                <w:color w:val="000000"/>
                <w:sz w:val="16"/>
                <w:szCs w:val="16"/>
              </w:rPr>
            </w:pPr>
            <w:proofErr w:type="spellStart"/>
            <w:r w:rsidRPr="00972C58">
              <w:rPr>
                <w:b/>
                <w:bCs/>
                <w:color w:val="000000"/>
                <w:sz w:val="16"/>
                <w:szCs w:val="16"/>
              </w:rPr>
              <w:t>Mousavinasab</w:t>
            </w:r>
            <w:proofErr w:type="spellEnd"/>
            <w:r w:rsidRPr="00972C58">
              <w:rPr>
                <w:b/>
                <w:bCs/>
                <w:color w:val="000000"/>
                <w:sz w:val="16"/>
                <w:szCs w:val="16"/>
              </w:rPr>
              <w:t xml:space="preserve"> et al. (2021)</w:t>
            </w:r>
          </w:p>
        </w:tc>
        <w:tc>
          <w:tcPr>
            <w:tcW w:w="32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06131" w14:textId="77777777" w:rsidR="00640082" w:rsidRPr="00972C58" w:rsidRDefault="00640082" w:rsidP="005F7197">
            <w:pPr>
              <w:pStyle w:val="NormalWeb"/>
              <w:ind w:left="13" w:hanging="13"/>
              <w:jc w:val="both"/>
              <w:rPr>
                <w:color w:val="000000"/>
                <w:sz w:val="16"/>
                <w:szCs w:val="16"/>
              </w:rPr>
            </w:pPr>
            <w:r w:rsidRPr="00972C58">
              <w:rPr>
                <w:color w:val="000000"/>
                <w:sz w:val="16"/>
                <w:szCs w:val="16"/>
              </w:rPr>
              <w:t>Intelligent Tutoring Systems (ITS) and personalized instruction</w:t>
            </w:r>
          </w:p>
        </w:tc>
        <w:tc>
          <w:tcPr>
            <w:tcW w:w="2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D8B44" w14:textId="77777777" w:rsidR="00640082" w:rsidRPr="00972C58" w:rsidRDefault="00640082" w:rsidP="005F7197">
            <w:pPr>
              <w:pStyle w:val="NormalWeb"/>
              <w:ind w:left="16" w:hanging="11"/>
              <w:jc w:val="both"/>
              <w:rPr>
                <w:color w:val="000000"/>
                <w:sz w:val="16"/>
                <w:szCs w:val="16"/>
              </w:rPr>
            </w:pPr>
            <w:r w:rsidRPr="00972C58">
              <w:rPr>
                <w:color w:val="000000"/>
                <w:sz w:val="16"/>
                <w:szCs w:val="16"/>
              </w:rPr>
              <w:t>Real-time feedback, enhanced engagement, and adaptive learning</w:t>
            </w:r>
          </w:p>
        </w:tc>
      </w:tr>
      <w:tr w:rsidR="00640082" w:rsidRPr="00972C58" w14:paraId="5DBCA586" w14:textId="77777777" w:rsidTr="005F7197">
        <w:trPr>
          <w:trHeight w:val="165"/>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ED81E1" w14:textId="77777777" w:rsidR="00640082" w:rsidRPr="00972C58" w:rsidRDefault="00640082" w:rsidP="005F7197">
            <w:pPr>
              <w:pStyle w:val="NormalWeb"/>
              <w:ind w:left="71" w:right="-62"/>
              <w:rPr>
                <w:color w:val="000000"/>
                <w:sz w:val="16"/>
                <w:szCs w:val="16"/>
              </w:rPr>
            </w:pPr>
            <w:r w:rsidRPr="00972C58">
              <w:rPr>
                <w:b/>
                <w:bCs/>
                <w:color w:val="000000"/>
                <w:sz w:val="16"/>
                <w:szCs w:val="16"/>
              </w:rPr>
              <w:t>Casselman et al. (2021)</w:t>
            </w:r>
          </w:p>
        </w:tc>
        <w:tc>
          <w:tcPr>
            <w:tcW w:w="32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C4944" w14:textId="77777777" w:rsidR="00640082" w:rsidRPr="00972C58" w:rsidRDefault="00640082" w:rsidP="005F7197">
            <w:pPr>
              <w:pStyle w:val="NormalWeb"/>
              <w:ind w:left="13" w:hanging="13"/>
              <w:jc w:val="both"/>
              <w:rPr>
                <w:color w:val="000000"/>
                <w:sz w:val="16"/>
                <w:szCs w:val="16"/>
              </w:rPr>
            </w:pPr>
            <w:r w:rsidRPr="00972C58">
              <w:rPr>
                <w:color w:val="000000"/>
                <w:sz w:val="16"/>
                <w:szCs w:val="16"/>
              </w:rPr>
              <w:t>Predictive models for student performance and interventions</w:t>
            </w:r>
          </w:p>
        </w:tc>
        <w:tc>
          <w:tcPr>
            <w:tcW w:w="2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375D7" w14:textId="77777777" w:rsidR="00640082" w:rsidRPr="00972C58" w:rsidRDefault="00640082" w:rsidP="005F7197">
            <w:pPr>
              <w:pStyle w:val="NormalWeb"/>
              <w:ind w:left="16" w:hanging="11"/>
              <w:jc w:val="both"/>
              <w:rPr>
                <w:color w:val="000000"/>
                <w:sz w:val="16"/>
                <w:szCs w:val="16"/>
              </w:rPr>
            </w:pPr>
            <w:r w:rsidRPr="00972C58">
              <w:rPr>
                <w:color w:val="000000"/>
                <w:sz w:val="16"/>
                <w:szCs w:val="16"/>
              </w:rPr>
              <w:t>Proactive student support and targeted resource allocation</w:t>
            </w:r>
          </w:p>
        </w:tc>
      </w:tr>
      <w:tr w:rsidR="00640082" w:rsidRPr="00972C58" w14:paraId="7CC497FA" w14:textId="77777777" w:rsidTr="005F7197">
        <w:trPr>
          <w:trHeight w:val="165"/>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26FF97" w14:textId="77777777" w:rsidR="00640082" w:rsidRPr="00972C58" w:rsidRDefault="00640082" w:rsidP="005F7197">
            <w:pPr>
              <w:pStyle w:val="NormalWeb"/>
              <w:ind w:left="71" w:right="-62"/>
              <w:rPr>
                <w:color w:val="000000"/>
                <w:sz w:val="16"/>
                <w:szCs w:val="16"/>
              </w:rPr>
            </w:pPr>
            <w:r w:rsidRPr="00972C58">
              <w:rPr>
                <w:b/>
                <w:bCs/>
                <w:color w:val="000000"/>
                <w:sz w:val="16"/>
                <w:szCs w:val="16"/>
              </w:rPr>
              <w:t>Filgueiras (2024)</w:t>
            </w:r>
          </w:p>
        </w:tc>
        <w:tc>
          <w:tcPr>
            <w:tcW w:w="32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280BA3" w14:textId="77777777" w:rsidR="00640082" w:rsidRPr="00972C58" w:rsidRDefault="00640082" w:rsidP="005F7197">
            <w:pPr>
              <w:pStyle w:val="NormalWeb"/>
              <w:ind w:left="13" w:hanging="13"/>
              <w:jc w:val="both"/>
              <w:rPr>
                <w:color w:val="000000"/>
                <w:sz w:val="16"/>
                <w:szCs w:val="16"/>
              </w:rPr>
            </w:pPr>
            <w:r w:rsidRPr="00972C58">
              <w:rPr>
                <w:color w:val="000000"/>
                <w:sz w:val="16"/>
                <w:szCs w:val="16"/>
              </w:rPr>
              <w:t>AI in educational governance and administrative efficiency</w:t>
            </w:r>
          </w:p>
        </w:tc>
        <w:tc>
          <w:tcPr>
            <w:tcW w:w="2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34682" w14:textId="77777777" w:rsidR="00640082" w:rsidRPr="00972C58" w:rsidRDefault="00640082" w:rsidP="005F7197">
            <w:pPr>
              <w:pStyle w:val="NormalWeb"/>
              <w:ind w:left="16" w:hanging="11"/>
              <w:jc w:val="both"/>
              <w:rPr>
                <w:color w:val="000000"/>
                <w:sz w:val="16"/>
                <w:szCs w:val="16"/>
              </w:rPr>
            </w:pPr>
            <w:r w:rsidRPr="00972C58">
              <w:rPr>
                <w:color w:val="000000"/>
                <w:sz w:val="16"/>
                <w:szCs w:val="16"/>
              </w:rPr>
              <w:t>Streamlined decision-making, resource management improvements</w:t>
            </w:r>
          </w:p>
        </w:tc>
      </w:tr>
      <w:tr w:rsidR="00640082" w:rsidRPr="00972C58" w14:paraId="3516134C" w14:textId="77777777" w:rsidTr="005F7197">
        <w:trPr>
          <w:trHeight w:val="165"/>
          <w:jc w:val="center"/>
        </w:trPr>
        <w:tc>
          <w:tcPr>
            <w:tcW w:w="16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075F36" w14:textId="77777777" w:rsidR="00640082" w:rsidRPr="00972C58" w:rsidRDefault="00640082" w:rsidP="005F7197">
            <w:pPr>
              <w:pStyle w:val="NormalWeb"/>
              <w:ind w:left="71" w:right="-62"/>
              <w:rPr>
                <w:color w:val="000000"/>
                <w:sz w:val="16"/>
                <w:szCs w:val="16"/>
              </w:rPr>
            </w:pPr>
            <w:r w:rsidRPr="00972C58">
              <w:rPr>
                <w:b/>
                <w:bCs/>
                <w:color w:val="000000"/>
                <w:sz w:val="16"/>
                <w:szCs w:val="16"/>
              </w:rPr>
              <w:t>Chen et al. (2020)</w:t>
            </w:r>
          </w:p>
        </w:tc>
        <w:tc>
          <w:tcPr>
            <w:tcW w:w="32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C6B2A" w14:textId="77777777" w:rsidR="00640082" w:rsidRPr="00972C58" w:rsidRDefault="00640082" w:rsidP="005F7197">
            <w:pPr>
              <w:pStyle w:val="NormalWeb"/>
              <w:ind w:left="13" w:hanging="13"/>
              <w:jc w:val="both"/>
              <w:rPr>
                <w:color w:val="000000"/>
                <w:sz w:val="16"/>
                <w:szCs w:val="16"/>
              </w:rPr>
            </w:pPr>
            <w:r w:rsidRPr="00972C58">
              <w:rPr>
                <w:color w:val="000000"/>
                <w:sz w:val="16"/>
                <w:szCs w:val="16"/>
              </w:rPr>
              <w:t>Overview of AI’s role in enhancing learning environments and necessary training</w:t>
            </w:r>
          </w:p>
        </w:tc>
        <w:tc>
          <w:tcPr>
            <w:tcW w:w="2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80E37" w14:textId="77777777" w:rsidR="00640082" w:rsidRPr="00972C58" w:rsidRDefault="00640082" w:rsidP="005F7197">
            <w:pPr>
              <w:pStyle w:val="NormalWeb"/>
              <w:ind w:left="16" w:hanging="11"/>
              <w:jc w:val="both"/>
              <w:rPr>
                <w:color w:val="000000"/>
                <w:sz w:val="16"/>
                <w:szCs w:val="16"/>
              </w:rPr>
            </w:pPr>
            <w:r w:rsidRPr="00972C58">
              <w:rPr>
                <w:color w:val="000000"/>
                <w:sz w:val="16"/>
                <w:szCs w:val="16"/>
              </w:rPr>
              <w:t>Emphasis on educator training and strategic technology integration</w:t>
            </w:r>
          </w:p>
        </w:tc>
      </w:tr>
    </w:tbl>
    <w:p w14:paraId="2AEF10BE" w14:textId="77777777" w:rsidR="00640082" w:rsidRPr="00972C58" w:rsidRDefault="00640082" w:rsidP="002D56F5">
      <w:pPr>
        <w:pStyle w:val="NormalWeb"/>
        <w:spacing w:before="0" w:beforeAutospacing="0" w:after="0" w:afterAutospacing="0"/>
        <w:ind w:left="717" w:hanging="8"/>
        <w:rPr>
          <w:color w:val="000000"/>
          <w:sz w:val="20"/>
          <w:szCs w:val="20"/>
        </w:rPr>
      </w:pPr>
      <w:r w:rsidRPr="00972C58">
        <w:rPr>
          <w:color w:val="000000"/>
          <w:sz w:val="20"/>
          <w:szCs w:val="20"/>
        </w:rPr>
        <w:t>Source: Processed by researchers</w:t>
      </w:r>
    </w:p>
    <w:p w14:paraId="30622377" w14:textId="77777777" w:rsidR="00640082" w:rsidRPr="00972C58" w:rsidRDefault="00640082" w:rsidP="00E1677F">
      <w:pPr>
        <w:pStyle w:val="NormalWeb"/>
        <w:spacing w:before="0" w:beforeAutospacing="0" w:after="0" w:afterAutospacing="0"/>
        <w:ind w:left="717" w:firstLine="720"/>
        <w:jc w:val="both"/>
        <w:rPr>
          <w:color w:val="000000"/>
          <w:sz w:val="20"/>
          <w:szCs w:val="20"/>
        </w:rPr>
      </w:pPr>
    </w:p>
    <w:p w14:paraId="3FF748EC"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The integration of AI in education extends beyond mere technological enhancements, influencing the way educators design, implement, and manage learning experiences. Intelligent Tutoring Systems (ITS), highlighted by </w:t>
      </w:r>
      <w:r w:rsidRPr="00972C58">
        <w:rPr>
          <w:color w:val="000000"/>
          <w:sz w:val="20"/>
          <w:szCs w:val="20"/>
        </w:rPr>
        <w:fldChar w:fldCharType="begin"/>
      </w:r>
      <w:r w:rsidRPr="00972C58">
        <w:rPr>
          <w:color w:val="000000"/>
          <w:sz w:val="20"/>
          <w:szCs w:val="20"/>
        </w:rPr>
        <w:instrText xml:space="preserve"> ADDIN ZOTERO_ITEM CSL_CITATION {"citationID":"0M0AOS6c","properties":{"formattedCitation":"(Mousavinasab et al., 2021)","plainCitation":"(Mousavinasab et al., 2021)","noteIndex":0},"citationItems":[{"id":924,"uris":["http://zotero.org/users/local/MvyTXXMq/items/WBKSPAYG"],"itemData":{"id":924,"type":"article-journal","container-title":"Interactive Learning Environments","issue":"1","page":"142-163","title":"Intelligent tutoring systems: a systematic review of characteristics, applications, and evaluation methods.","volume":"29","author":[{"family":"Mousavinasab","given":"E."},{"family":"Zarifsanaiey","given":"N. R."},{"family":"Niakan Kalhori","given":"S."},{"family":"Rakhshan","given":"M."},{"family":"Keikha","given":"L."},{"family":"Ghazi Saeedi","given":"M."}],"issued":{"date-parts":[["2021"]]}}}],"schema":"https://github.com/citation-style-language/schema/raw/master/csl-citation.json"} </w:instrText>
      </w:r>
      <w:r w:rsidRPr="00972C58">
        <w:rPr>
          <w:color w:val="000000"/>
          <w:sz w:val="20"/>
          <w:szCs w:val="20"/>
        </w:rPr>
        <w:fldChar w:fldCharType="separate"/>
      </w:r>
      <w:r w:rsidRPr="00972C58">
        <w:rPr>
          <w:noProof/>
          <w:color w:val="000000"/>
          <w:sz w:val="20"/>
          <w:szCs w:val="20"/>
        </w:rPr>
        <w:t>(Mousavinasab et al., 2021)</w:t>
      </w:r>
      <w:r w:rsidRPr="00972C58">
        <w:rPr>
          <w:color w:val="000000"/>
          <w:sz w:val="20"/>
          <w:szCs w:val="20"/>
        </w:rPr>
        <w:fldChar w:fldCharType="end"/>
      </w:r>
      <w:r w:rsidRPr="00972C58">
        <w:rPr>
          <w:color w:val="000000"/>
          <w:sz w:val="20"/>
          <w:szCs w:val="20"/>
        </w:rPr>
        <w:t xml:space="preserve">, showcase AI’s capacity to offer customized learning pathways, fostering environments where students receive immediate, personalized support. These systems allow for adaptive learning that matches each student’s unique pace and style, promoting deeper engagement and retention. The impact of ITS is not only evident in academic performance but also in fostering self-directed learning, as students become more confident navigating their educational journeys with tailored feedback. </w:t>
      </w:r>
    </w:p>
    <w:p w14:paraId="0CB56486"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Moreover, the predictive power of machine learning algorithms, as illustrated by </w:t>
      </w:r>
      <w:r w:rsidRPr="00972C58">
        <w:rPr>
          <w:color w:val="000000"/>
          <w:sz w:val="20"/>
          <w:szCs w:val="20"/>
        </w:rPr>
        <w:fldChar w:fldCharType="begin"/>
      </w:r>
      <w:r w:rsidRPr="00972C58">
        <w:rPr>
          <w:color w:val="000000"/>
          <w:sz w:val="20"/>
          <w:szCs w:val="20"/>
        </w:rPr>
        <w:instrText xml:space="preserve"> ADDIN ZOTERO_ITEM CSL_CITATION {"citationID":"0M3arqaQ","properties":{"formattedCitation":"(Casselman et al., 2021)","plainCitation":"(Casselman et al., 2021)","noteIndex":0},"citationItems":[{"id":925,"uris":["http://zotero.org/users/local/MvyTXXMq/items/PQY7DBKS"],"itemData":{"id":925,"type":"article-journal","container-title":"Science Education","issue":"6","page":"1285-1314","title":"Advancing multimedia learning for science: Comparing the effect of virtual versus physical models on student learning about stereochemistry.","volume":"105","author":[{"family":"Casselman","given":"M. D."},{"family":"Eichler","given":"J. F."},{"family":"Atit","given":"K."}],"issued":{"date-parts":[["2021"]]}}}],"schema":"https://github.com/citation-style-language/schema/raw/master/csl-citation.json"} </w:instrText>
      </w:r>
      <w:r w:rsidRPr="00972C58">
        <w:rPr>
          <w:color w:val="000000"/>
          <w:sz w:val="20"/>
          <w:szCs w:val="20"/>
        </w:rPr>
        <w:fldChar w:fldCharType="separate"/>
      </w:r>
      <w:r w:rsidRPr="00972C58">
        <w:rPr>
          <w:noProof/>
          <w:color w:val="000000"/>
          <w:sz w:val="20"/>
          <w:szCs w:val="20"/>
        </w:rPr>
        <w:t>(Casselman et al., 2021)</w:t>
      </w:r>
      <w:r w:rsidRPr="00972C58">
        <w:rPr>
          <w:color w:val="000000"/>
          <w:sz w:val="20"/>
          <w:szCs w:val="20"/>
        </w:rPr>
        <w:fldChar w:fldCharType="end"/>
      </w:r>
      <w:r w:rsidRPr="00972C58">
        <w:rPr>
          <w:color w:val="000000"/>
          <w:sz w:val="20"/>
          <w:szCs w:val="20"/>
        </w:rPr>
        <w:t xml:space="preserve">, exemplifies how AI can revolutionize student performance tracking. By analyzing extensive data on student behaviors and learning patterns, machine learning models such as </w:t>
      </w:r>
      <w:proofErr w:type="spellStart"/>
      <w:r w:rsidRPr="00972C58">
        <w:rPr>
          <w:color w:val="000000"/>
          <w:sz w:val="20"/>
          <w:szCs w:val="20"/>
        </w:rPr>
        <w:t>XGBoost</w:t>
      </w:r>
      <w:proofErr w:type="spellEnd"/>
      <w:r w:rsidRPr="00972C58">
        <w:rPr>
          <w:color w:val="000000"/>
          <w:sz w:val="20"/>
          <w:szCs w:val="20"/>
        </w:rPr>
        <w:t xml:space="preserve"> enable educators to preemptively address potential academic challenges. This preemptive approach shifts the focus from reactive to proactive teaching, allowing for timely intervention strategies that prevent students from falling behind. Consequently, educational institutions can optimize their resources and provide targeted support where it is most needed, creating a more equitable and efficient learning environment. </w:t>
      </w:r>
    </w:p>
    <w:p w14:paraId="25DE138A"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AI’s influence also extends to administrative efficiencies, as explored by </w:t>
      </w:r>
      <w:r w:rsidRPr="00972C58">
        <w:rPr>
          <w:color w:val="000000"/>
          <w:sz w:val="20"/>
          <w:szCs w:val="20"/>
        </w:rPr>
        <w:fldChar w:fldCharType="begin"/>
      </w:r>
      <w:r w:rsidRPr="00972C58">
        <w:rPr>
          <w:color w:val="000000"/>
          <w:sz w:val="20"/>
          <w:szCs w:val="20"/>
        </w:rPr>
        <w:instrText xml:space="preserve"> ADDIN ZOTERO_ITEM CSL_CITATION {"citationID":"n3jDQVF8","properties":{"formattedCitation":"(Filgueiras, 2024)","plainCitation":"(Filgueiras, 2024)","noteIndex":0},"citationItems":[{"id":926,"uris":["http://zotero.org/users/local/MvyTXXMq/items/Z93ZWUWS"],"itemData":{"id":926,"type":"article-journal","container-title":"Education, Citizenship and Social Justice","DOI":"https://doi.org/10.1177/17461979231160674","issue":"3","page":"349-361","title":"Artificial intelligence and education governance","volume":"19","author":[{"family":"Filgueiras","given":"F."}],"issued":{"date-parts":[["2024"]]}}}],"schema":"https://github.com/citation-style-language/schema/raw/master/csl-citation.json"} </w:instrText>
      </w:r>
      <w:r w:rsidRPr="00972C58">
        <w:rPr>
          <w:color w:val="000000"/>
          <w:sz w:val="20"/>
          <w:szCs w:val="20"/>
        </w:rPr>
        <w:fldChar w:fldCharType="separate"/>
      </w:r>
      <w:r w:rsidRPr="00972C58">
        <w:rPr>
          <w:noProof/>
          <w:color w:val="000000"/>
          <w:sz w:val="20"/>
          <w:szCs w:val="20"/>
        </w:rPr>
        <w:t>(Filgueiras, 2024)</w:t>
      </w:r>
      <w:r w:rsidRPr="00972C58">
        <w:rPr>
          <w:color w:val="000000"/>
          <w:sz w:val="20"/>
          <w:szCs w:val="20"/>
        </w:rPr>
        <w:fldChar w:fldCharType="end"/>
      </w:r>
      <w:r w:rsidRPr="00972C58">
        <w:rPr>
          <w:color w:val="000000"/>
          <w:sz w:val="20"/>
          <w:szCs w:val="20"/>
        </w:rPr>
        <w:t xml:space="preserve">. The use of AI in educational governance enhances decision-making processes through data-driven insights, streamlining everything from curriculum planning to resource management. By automating routine tasks and generating actionable reports, AI frees up valuable time for administrators and educators to focus on student-centered activities. The integration of AI into administrative functions underscores its potential to improve not just teaching, but the overall operational landscape of educational institutions. This holistic enhancement supports a more dynamic and responsive education system that can adapt to evolving needs. </w:t>
      </w:r>
    </w:p>
    <w:p w14:paraId="53A06B13"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However, these advancements come with the caveat that successful implementation requires thoughtful planning and educator involvement. </w:t>
      </w:r>
      <w:r w:rsidRPr="00972C58">
        <w:rPr>
          <w:color w:val="000000"/>
          <w:sz w:val="20"/>
          <w:szCs w:val="20"/>
        </w:rPr>
        <w:fldChar w:fldCharType="begin"/>
      </w:r>
      <w:r w:rsidRPr="00972C58">
        <w:rPr>
          <w:color w:val="000000"/>
          <w:sz w:val="20"/>
          <w:szCs w:val="20"/>
        </w:rPr>
        <w:instrText xml:space="preserve"> ADDIN ZOTERO_ITEM CSL_CITATION {"citationID":"bapweSJw","properties":{"formattedCitation":"(Chen et al., 2020)","plainCitation":"(Chen et al., 2020)","noteIndex":0},"citationItems":[{"id":927,"uris":["http://zotero.org/users/local/MvyTXXMq/items/TCUL62LH"],"itemData":{"id":927,"type":"article-journal","container-title":"IEEE Explore","DOI":"10.1109/ACCESS.2020.2988510.","page":"75264-75278","title":"Artificial intelligence in education: A review","volume":"8","author":[{"family":"Chen","given":"L."},{"family":"Chen","given":"P."},{"family":"Lin","given":"Z."}],"issued":{"date-parts":[["2020"]]}}}],"schema":"https://github.com/citation-style-language/schema/raw/master/csl-citation.json"} </w:instrText>
      </w:r>
      <w:r w:rsidRPr="00972C58">
        <w:rPr>
          <w:color w:val="000000"/>
          <w:sz w:val="20"/>
          <w:szCs w:val="20"/>
        </w:rPr>
        <w:fldChar w:fldCharType="separate"/>
      </w:r>
      <w:r w:rsidRPr="00972C58">
        <w:rPr>
          <w:noProof/>
          <w:color w:val="000000"/>
          <w:sz w:val="20"/>
          <w:szCs w:val="20"/>
        </w:rPr>
        <w:t>(Chen et al., 2020)</w:t>
      </w:r>
      <w:r w:rsidRPr="00972C58">
        <w:rPr>
          <w:color w:val="000000"/>
          <w:sz w:val="20"/>
          <w:szCs w:val="20"/>
        </w:rPr>
        <w:fldChar w:fldCharType="end"/>
      </w:r>
      <w:r w:rsidRPr="00972C58">
        <w:rPr>
          <w:color w:val="000000"/>
          <w:sz w:val="20"/>
          <w:szCs w:val="20"/>
        </w:rPr>
        <w:t xml:space="preserve"> emphasized the importance of comprehensive training programs for educators to ensure that they can effectively utilize AI tools without becoming overly reliant on them. Proper integration also demands a strategy that aligns with educational goals, safeguards data privacy, and preserves the role of educators as key facilitators of learning. Without these critical components, the benefits of AI risk being overshadowed by challenges such as unequal access, potential biases in algorithmic outcomes, and a reliance on technology that may diminish essential human interactions in the learning process. </w:t>
      </w:r>
    </w:p>
    <w:p w14:paraId="4C389EDA" w14:textId="77777777" w:rsidR="00640082" w:rsidRPr="00972C58" w:rsidRDefault="00640082" w:rsidP="00E1677F">
      <w:pPr>
        <w:pStyle w:val="NormalWeb"/>
        <w:spacing w:before="0" w:beforeAutospacing="0" w:after="0" w:afterAutospacing="0"/>
        <w:ind w:left="717" w:firstLine="720"/>
        <w:jc w:val="both"/>
        <w:rPr>
          <w:color w:val="000000"/>
          <w:sz w:val="20"/>
          <w:szCs w:val="20"/>
        </w:rPr>
      </w:pPr>
    </w:p>
    <w:p w14:paraId="33330110" w14:textId="77777777" w:rsidR="00640082" w:rsidRPr="00972C58" w:rsidRDefault="00640082" w:rsidP="003B203D">
      <w:pPr>
        <w:pStyle w:val="NormalWeb"/>
        <w:spacing w:before="0" w:beforeAutospacing="0" w:after="0" w:afterAutospacing="0"/>
        <w:ind w:left="717"/>
        <w:jc w:val="both"/>
        <w:rPr>
          <w:b/>
          <w:bCs/>
          <w:color w:val="000000"/>
          <w:sz w:val="20"/>
          <w:szCs w:val="20"/>
        </w:rPr>
      </w:pPr>
      <w:r w:rsidRPr="00972C58">
        <w:rPr>
          <w:b/>
          <w:bCs/>
          <w:color w:val="000000"/>
          <w:sz w:val="20"/>
          <w:szCs w:val="20"/>
        </w:rPr>
        <w:t>Limitations and Challenges of AI in Education</w:t>
      </w:r>
    </w:p>
    <w:p w14:paraId="46BCA3EB" w14:textId="77777777" w:rsidR="00640082" w:rsidRPr="00972C58" w:rsidRDefault="00640082" w:rsidP="003B203D">
      <w:pPr>
        <w:pStyle w:val="NormalWeb"/>
        <w:spacing w:before="0" w:beforeAutospacing="0" w:after="0" w:afterAutospacing="0"/>
        <w:ind w:left="717"/>
        <w:jc w:val="both"/>
        <w:rPr>
          <w:b/>
          <w:bCs/>
          <w:color w:val="000000"/>
          <w:sz w:val="20"/>
          <w:szCs w:val="20"/>
        </w:rPr>
      </w:pPr>
    </w:p>
    <w:p w14:paraId="4DE957CB" w14:textId="77777777" w:rsidR="00640082" w:rsidRPr="00972C58" w:rsidRDefault="00640082" w:rsidP="003B203D">
      <w:pPr>
        <w:pStyle w:val="NormalWeb"/>
        <w:spacing w:before="0" w:beforeAutospacing="0" w:after="0" w:afterAutospacing="0"/>
        <w:ind w:left="717"/>
        <w:jc w:val="center"/>
        <w:rPr>
          <w:color w:val="000000"/>
          <w:sz w:val="20"/>
          <w:szCs w:val="20"/>
        </w:rPr>
      </w:pPr>
      <w:r w:rsidRPr="00972C58">
        <w:rPr>
          <w:b/>
          <w:bCs/>
          <w:sz w:val="20"/>
          <w:szCs w:val="20"/>
        </w:rPr>
        <w:t>Table</w:t>
      </w:r>
      <w:r w:rsidRPr="00972C58">
        <w:rPr>
          <w:b/>
          <w:bCs/>
          <w:spacing w:val="-4"/>
          <w:sz w:val="20"/>
          <w:szCs w:val="20"/>
        </w:rPr>
        <w:t xml:space="preserve"> </w:t>
      </w:r>
      <w:r w:rsidRPr="00972C58">
        <w:rPr>
          <w:b/>
          <w:bCs/>
          <w:sz w:val="20"/>
          <w:szCs w:val="20"/>
        </w:rPr>
        <w:t>2.</w:t>
      </w:r>
      <w:r w:rsidRPr="00972C58">
        <w:rPr>
          <w:spacing w:val="-4"/>
          <w:sz w:val="20"/>
          <w:szCs w:val="20"/>
        </w:rPr>
        <w:t xml:space="preserve"> </w:t>
      </w:r>
      <w:r w:rsidRPr="00972C58">
        <w:rPr>
          <w:sz w:val="20"/>
          <w:szCs w:val="20"/>
        </w:rPr>
        <w:t>AI Limitations and Challenges in Education Summary</w:t>
      </w:r>
    </w:p>
    <w:tbl>
      <w:tblPr>
        <w:tblW w:w="0" w:type="auto"/>
        <w:jc w:val="center"/>
        <w:tblCellMar>
          <w:left w:w="0" w:type="dxa"/>
          <w:right w:w="0" w:type="dxa"/>
        </w:tblCellMar>
        <w:tblLook w:val="04A0" w:firstRow="1" w:lastRow="0" w:firstColumn="1" w:lastColumn="0" w:noHBand="0" w:noVBand="1"/>
      </w:tblPr>
      <w:tblGrid>
        <w:gridCol w:w="2052"/>
        <w:gridCol w:w="3185"/>
        <w:gridCol w:w="1277"/>
      </w:tblGrid>
      <w:tr w:rsidR="00640082" w:rsidRPr="00972C58" w14:paraId="2C44F989" w14:textId="77777777" w:rsidTr="003B203D">
        <w:trPr>
          <w:trHeight w:val="165"/>
          <w:jc w:val="center"/>
        </w:trPr>
        <w:tc>
          <w:tcPr>
            <w:tcW w:w="205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BD9F665"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Key Limitation</w:t>
            </w:r>
          </w:p>
        </w:tc>
        <w:tc>
          <w:tcPr>
            <w:tcW w:w="31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3CE2688"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Description</w:t>
            </w:r>
          </w:p>
        </w:tc>
        <w:tc>
          <w:tcPr>
            <w:tcW w:w="127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6A8FED4"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Relevant Studies</w:t>
            </w:r>
          </w:p>
        </w:tc>
      </w:tr>
      <w:tr w:rsidR="00640082" w:rsidRPr="00972C58" w14:paraId="32F25435" w14:textId="77777777" w:rsidTr="003B203D">
        <w:trPr>
          <w:trHeight w:val="180"/>
          <w:jc w:val="center"/>
        </w:trPr>
        <w:tc>
          <w:tcPr>
            <w:tcW w:w="205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25D389"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Privacy and Data Security</w:t>
            </w:r>
          </w:p>
        </w:tc>
        <w:tc>
          <w:tcPr>
            <w:tcW w:w="3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115A5" w14:textId="77777777" w:rsidR="00640082" w:rsidRPr="00972C58" w:rsidRDefault="00640082">
            <w:pPr>
              <w:pStyle w:val="NormalWeb"/>
              <w:spacing w:before="0" w:beforeAutospacing="0" w:after="0" w:afterAutospacing="0"/>
              <w:rPr>
                <w:sz w:val="16"/>
                <w:szCs w:val="16"/>
              </w:rPr>
            </w:pPr>
            <w:r w:rsidRPr="00972C58">
              <w:rPr>
                <w:color w:val="000000"/>
                <w:sz w:val="16"/>
                <w:szCs w:val="16"/>
              </w:rPr>
              <w:t>Concerns related to data collection, security breaches, and misuse of student data.</w:t>
            </w:r>
          </w:p>
        </w:tc>
        <w:tc>
          <w:tcPr>
            <w:tcW w:w="12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843EA" w14:textId="77777777" w:rsidR="00640082" w:rsidRPr="00972C58" w:rsidRDefault="00640082">
            <w:pPr>
              <w:pStyle w:val="NormalWeb"/>
              <w:spacing w:before="0" w:beforeAutospacing="0" w:after="0" w:afterAutospacing="0"/>
              <w:rPr>
                <w:sz w:val="16"/>
                <w:szCs w:val="16"/>
              </w:rPr>
            </w:pPr>
            <w:r w:rsidRPr="00972C58">
              <w:rPr>
                <w:color w:val="000000"/>
                <w:sz w:val="16"/>
                <w:szCs w:val="16"/>
              </w:rPr>
              <w:t>Zuboff (2019)</w:t>
            </w:r>
          </w:p>
        </w:tc>
      </w:tr>
      <w:tr w:rsidR="00640082" w:rsidRPr="00972C58" w14:paraId="08287D44" w14:textId="77777777" w:rsidTr="003B203D">
        <w:trPr>
          <w:trHeight w:val="165"/>
          <w:jc w:val="center"/>
        </w:trPr>
        <w:tc>
          <w:tcPr>
            <w:tcW w:w="205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9533D2"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Technological Inequality</w:t>
            </w:r>
          </w:p>
        </w:tc>
        <w:tc>
          <w:tcPr>
            <w:tcW w:w="3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1CC78" w14:textId="77777777" w:rsidR="00640082" w:rsidRPr="00972C58" w:rsidRDefault="00640082">
            <w:pPr>
              <w:pStyle w:val="NormalWeb"/>
              <w:spacing w:before="0" w:beforeAutospacing="0" w:after="0" w:afterAutospacing="0"/>
              <w:rPr>
                <w:sz w:val="16"/>
                <w:szCs w:val="16"/>
              </w:rPr>
            </w:pPr>
            <w:r w:rsidRPr="00972C58">
              <w:rPr>
                <w:color w:val="000000"/>
                <w:sz w:val="16"/>
                <w:szCs w:val="16"/>
              </w:rPr>
              <w:t>Disparities in access to technology, exacerbating educational inequalities.</w:t>
            </w:r>
          </w:p>
        </w:tc>
        <w:tc>
          <w:tcPr>
            <w:tcW w:w="12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3DCE84" w14:textId="77777777" w:rsidR="00640082" w:rsidRPr="00972C58" w:rsidRDefault="00640082">
            <w:pPr>
              <w:pStyle w:val="NormalWeb"/>
              <w:spacing w:before="0" w:beforeAutospacing="0" w:after="0" w:afterAutospacing="0"/>
              <w:rPr>
                <w:sz w:val="16"/>
                <w:szCs w:val="16"/>
              </w:rPr>
            </w:pPr>
            <w:r w:rsidRPr="00972C58">
              <w:rPr>
                <w:color w:val="000000"/>
                <w:sz w:val="16"/>
                <w:szCs w:val="16"/>
              </w:rPr>
              <w:t>Floridi et al. (2018)</w:t>
            </w:r>
          </w:p>
        </w:tc>
      </w:tr>
      <w:tr w:rsidR="00640082" w:rsidRPr="00972C58" w14:paraId="5C4E325D" w14:textId="77777777" w:rsidTr="003B203D">
        <w:trPr>
          <w:trHeight w:val="165"/>
          <w:jc w:val="center"/>
        </w:trPr>
        <w:tc>
          <w:tcPr>
            <w:tcW w:w="205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5A4EFB"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Over-Dependence on Technology</w:t>
            </w:r>
          </w:p>
        </w:tc>
        <w:tc>
          <w:tcPr>
            <w:tcW w:w="3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4AC47" w14:textId="77777777" w:rsidR="00640082" w:rsidRPr="00972C58" w:rsidRDefault="00640082">
            <w:pPr>
              <w:pStyle w:val="NormalWeb"/>
              <w:spacing w:before="0" w:beforeAutospacing="0" w:after="0" w:afterAutospacing="0"/>
              <w:rPr>
                <w:sz w:val="16"/>
                <w:szCs w:val="16"/>
              </w:rPr>
            </w:pPr>
            <w:r w:rsidRPr="00972C58">
              <w:rPr>
                <w:color w:val="000000"/>
                <w:sz w:val="16"/>
                <w:szCs w:val="16"/>
              </w:rPr>
              <w:t>Potential overuse leads to students’ reliance on automated solutions and decreased critical thinking skills.</w:t>
            </w:r>
          </w:p>
        </w:tc>
        <w:tc>
          <w:tcPr>
            <w:tcW w:w="12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A2095E" w14:textId="77777777" w:rsidR="00640082" w:rsidRPr="00972C58" w:rsidRDefault="00640082">
            <w:pPr>
              <w:pStyle w:val="NormalWeb"/>
              <w:spacing w:before="0" w:beforeAutospacing="0" w:after="0" w:afterAutospacing="0"/>
              <w:rPr>
                <w:sz w:val="16"/>
                <w:szCs w:val="16"/>
              </w:rPr>
            </w:pPr>
            <w:r w:rsidRPr="00972C58">
              <w:rPr>
                <w:color w:val="000000"/>
                <w:sz w:val="16"/>
                <w:szCs w:val="16"/>
              </w:rPr>
              <w:t>Suriano et al. (2025)</w:t>
            </w:r>
          </w:p>
        </w:tc>
      </w:tr>
      <w:tr w:rsidR="00640082" w:rsidRPr="00972C58" w14:paraId="61A1EA68" w14:textId="77777777" w:rsidTr="003B203D">
        <w:trPr>
          <w:trHeight w:val="165"/>
          <w:jc w:val="center"/>
        </w:trPr>
        <w:tc>
          <w:tcPr>
            <w:tcW w:w="205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EF041C" w14:textId="77777777" w:rsidR="00640082" w:rsidRPr="00972C58" w:rsidRDefault="00640082">
            <w:pPr>
              <w:pStyle w:val="NormalWeb"/>
              <w:spacing w:before="0" w:beforeAutospacing="0" w:after="0" w:afterAutospacing="0"/>
              <w:rPr>
                <w:sz w:val="16"/>
                <w:szCs w:val="16"/>
              </w:rPr>
            </w:pPr>
            <w:r w:rsidRPr="00972C58">
              <w:rPr>
                <w:b/>
                <w:bCs/>
                <w:color w:val="000000"/>
                <w:sz w:val="16"/>
                <w:szCs w:val="16"/>
              </w:rPr>
              <w:t>Reduced Human Interaction</w:t>
            </w:r>
          </w:p>
        </w:tc>
        <w:tc>
          <w:tcPr>
            <w:tcW w:w="3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D7658" w14:textId="77777777" w:rsidR="00640082" w:rsidRPr="00972C58" w:rsidRDefault="00640082">
            <w:pPr>
              <w:pStyle w:val="NormalWeb"/>
              <w:spacing w:before="0" w:beforeAutospacing="0" w:after="0" w:afterAutospacing="0"/>
              <w:rPr>
                <w:sz w:val="16"/>
                <w:szCs w:val="16"/>
              </w:rPr>
            </w:pPr>
            <w:r w:rsidRPr="00972C58">
              <w:rPr>
                <w:color w:val="000000"/>
                <w:sz w:val="16"/>
                <w:szCs w:val="16"/>
              </w:rPr>
              <w:t>Diminished teacher-student interactions and loss of teacher's role as a primary facilitator.</w:t>
            </w:r>
          </w:p>
        </w:tc>
        <w:tc>
          <w:tcPr>
            <w:tcW w:w="12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1F572" w14:textId="77777777" w:rsidR="00640082" w:rsidRPr="00972C58" w:rsidRDefault="00640082">
            <w:pPr>
              <w:pStyle w:val="NormalWeb"/>
              <w:spacing w:before="0" w:beforeAutospacing="0" w:after="0" w:afterAutospacing="0"/>
              <w:rPr>
                <w:sz w:val="16"/>
                <w:szCs w:val="16"/>
              </w:rPr>
            </w:pPr>
            <w:r w:rsidRPr="00972C58">
              <w:rPr>
                <w:color w:val="000000"/>
                <w:sz w:val="16"/>
                <w:szCs w:val="16"/>
              </w:rPr>
              <w:t>Zhai et al. (2023)</w:t>
            </w:r>
          </w:p>
        </w:tc>
      </w:tr>
    </w:tbl>
    <w:p w14:paraId="1BAA8960" w14:textId="77777777" w:rsidR="00640082" w:rsidRPr="00972C58" w:rsidRDefault="00640082" w:rsidP="003B203D">
      <w:pPr>
        <w:pStyle w:val="NormalWeb"/>
        <w:spacing w:before="0" w:beforeAutospacing="0" w:after="0" w:afterAutospacing="0"/>
        <w:ind w:left="1434" w:firstLine="3"/>
        <w:rPr>
          <w:color w:val="000000"/>
          <w:sz w:val="20"/>
          <w:szCs w:val="20"/>
        </w:rPr>
      </w:pPr>
      <w:r w:rsidRPr="00972C58">
        <w:rPr>
          <w:color w:val="000000"/>
          <w:sz w:val="20"/>
          <w:szCs w:val="20"/>
        </w:rPr>
        <w:t>Source: Processed by researchers</w:t>
      </w:r>
    </w:p>
    <w:p w14:paraId="7864E96F" w14:textId="77777777" w:rsidR="00640082" w:rsidRPr="00972C58" w:rsidRDefault="00640082" w:rsidP="00E1677F">
      <w:pPr>
        <w:pStyle w:val="NormalWeb"/>
        <w:spacing w:before="0" w:beforeAutospacing="0" w:after="0" w:afterAutospacing="0"/>
        <w:ind w:left="717" w:firstLine="720"/>
        <w:jc w:val="both"/>
        <w:rPr>
          <w:color w:val="000000"/>
          <w:sz w:val="20"/>
          <w:szCs w:val="20"/>
        </w:rPr>
      </w:pPr>
    </w:p>
    <w:p w14:paraId="525C450E"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The limitations of AI educational contexts extend beyond immediate technical concerns and delve into deeper socio-ethical issues. Privacy and data security are among the most pressing challenges, as AI systems often require large volumes of personal and academic data to function effectively. This data is used for refining algorithms and personalizing learning experiences, but it introduces significant risks related to data breaches and potential misuse. The implications of these risks are highlighted by </w:t>
      </w:r>
      <w:r w:rsidRPr="00972C58">
        <w:rPr>
          <w:color w:val="000000"/>
          <w:sz w:val="20"/>
          <w:szCs w:val="20"/>
        </w:rPr>
        <w:fldChar w:fldCharType="begin"/>
      </w:r>
      <w:r w:rsidRPr="00972C58">
        <w:rPr>
          <w:color w:val="000000"/>
          <w:sz w:val="20"/>
          <w:szCs w:val="20"/>
        </w:rPr>
        <w:instrText xml:space="preserve"> ADDIN ZOTERO_ITEM CSL_CITATION {"citationID":"XlbjoxqU","properties":{"formattedCitation":"(Zuboff, 2019)","plainCitation":"(Zuboff, 2019)","noteIndex":0},"citationItems":[{"id":928,"uris":["http://zotero.org/users/local/MvyTXXMq/items/9HQMM867"],"itemData":{"id":928,"type":"chapter","container-title":"Human rights in the age of platforms,","event-place":"Cambridge, Massachusets","page":"3-51.","publisher":"The MIT Press","publisher-place":"Cambridge, Massachusets","title":"‘We make them dance’: surveillance capitalism, the rise of instrumentarian power, and the threat to human rights.","author":[{"family":"Zuboff","given":"S."}],"issued":{"date-parts":[["2019"]]}}}],"schema":"https://github.com/citation-style-language/schema/raw/master/csl-citation.json"} </w:instrText>
      </w:r>
      <w:r w:rsidRPr="00972C58">
        <w:rPr>
          <w:color w:val="000000"/>
          <w:sz w:val="20"/>
          <w:szCs w:val="20"/>
        </w:rPr>
        <w:fldChar w:fldCharType="separate"/>
      </w:r>
      <w:r w:rsidRPr="00972C58">
        <w:rPr>
          <w:noProof/>
          <w:color w:val="000000"/>
          <w:sz w:val="20"/>
          <w:szCs w:val="20"/>
        </w:rPr>
        <w:t>(Zuboff, 2019)</w:t>
      </w:r>
      <w:r w:rsidRPr="00972C58">
        <w:rPr>
          <w:color w:val="000000"/>
          <w:sz w:val="20"/>
          <w:szCs w:val="20"/>
        </w:rPr>
        <w:fldChar w:fldCharType="end"/>
      </w:r>
      <w:r w:rsidRPr="00972C58">
        <w:rPr>
          <w:color w:val="000000"/>
          <w:sz w:val="20"/>
          <w:szCs w:val="20"/>
        </w:rPr>
        <w:t xml:space="preserve">, who emphasized the perils of pervasive data collection without stringent safeguards. Ensuring robust data protection frameworks and compliance with privacy laws, such as the General Data Protection Regulation (GDPR), is critical for preventing unauthorized access and protecting student information. Failure to do so not only jeopardize data security but also erodes trust in the educational system’s use of advanced technologies. </w:t>
      </w:r>
    </w:p>
    <w:p w14:paraId="38D1FC22"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Moreover, disparities in technological access contribute to unequal educational opportunities. AI tools can amplify existing inequalities by favoring schools and regions with better technological infrastructure, leaving behind students from underserved or remote areas </w:t>
      </w:r>
      <w:r w:rsidRPr="00972C58">
        <w:rPr>
          <w:color w:val="000000"/>
          <w:sz w:val="20"/>
          <w:szCs w:val="20"/>
        </w:rPr>
        <w:fldChar w:fldCharType="begin"/>
      </w:r>
      <w:r w:rsidRPr="00972C58">
        <w:rPr>
          <w:color w:val="000000"/>
          <w:sz w:val="20"/>
          <w:szCs w:val="20"/>
        </w:rPr>
        <w:instrText xml:space="preserve"> ADDIN ZOTERO_ITEM CSL_CITATION {"citationID":"zO5XU4bu","properties":{"formattedCitation":"(Floridi et al., 2018)","plainCitation":"(Floridi et al., 2018)","noteIndex":0},"citationItems":[{"id":930,"uris":["http://zotero.org/users/local/MvyTXXMq/items/V3849TM4"],"itemData":{"id":930,"type":"article-journal","container-title":"Minds and Machines","page":"689-707","title":"AI4People—an ethical framework for a good AI society: opportunities, risks, principles, and recommendations.","volume":"28","author":[{"family":"Floridi","given":"L."},{"family":"Cowls","given":"J."},{"family":"Beltrametti","given":"M."},{"family":"Chatila","given":"R."},{"family":"Chazerand","given":"P."},{"family":"Dignum","given":"V."},{"family":"Vayena","given":"E."}],"issued":{"date-parts":[["2018"]]}}}],"schema":"https://github.com/citation-style-language/schema/raw/master/csl-citation.json"} </w:instrText>
      </w:r>
      <w:r w:rsidRPr="00972C58">
        <w:rPr>
          <w:color w:val="000000"/>
          <w:sz w:val="20"/>
          <w:szCs w:val="20"/>
        </w:rPr>
        <w:fldChar w:fldCharType="separate"/>
      </w:r>
      <w:r w:rsidRPr="00972C58">
        <w:rPr>
          <w:noProof/>
          <w:color w:val="000000"/>
          <w:sz w:val="20"/>
          <w:szCs w:val="20"/>
        </w:rPr>
        <w:t>(Floridi et al., 2018)</w:t>
      </w:r>
      <w:r w:rsidRPr="00972C58">
        <w:rPr>
          <w:color w:val="000000"/>
          <w:sz w:val="20"/>
          <w:szCs w:val="20"/>
        </w:rPr>
        <w:fldChar w:fldCharType="end"/>
      </w:r>
      <w:r w:rsidRPr="00972C58">
        <w:rPr>
          <w:color w:val="000000"/>
          <w:sz w:val="20"/>
          <w:szCs w:val="20"/>
        </w:rPr>
        <w:t xml:space="preserve">. This digital divide means that while some students benefit from sophisticated AI-driven learning tools, others may struggle with outdated resources or lack access altogether. Addressing this disparity requires a comprehensive strategy involving government support, public-private partnerships, and community engagement to ensure equitable distribution of technology and resources. </w:t>
      </w:r>
    </w:p>
    <w:p w14:paraId="6AC27A38" w14:textId="77777777" w:rsidR="00640082" w:rsidRPr="00972C58" w:rsidRDefault="00640082" w:rsidP="004E3DF9">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Another significant limitation of AI in education is the risk of fostering dependence on technology, potentially diminishing essential interpersonal interactions between teachers and students. </w:t>
      </w:r>
      <w:r w:rsidRPr="00972C58">
        <w:rPr>
          <w:color w:val="000000"/>
          <w:sz w:val="20"/>
          <w:szCs w:val="20"/>
        </w:rPr>
        <w:fldChar w:fldCharType="begin"/>
      </w:r>
      <w:r w:rsidRPr="00972C58">
        <w:rPr>
          <w:color w:val="000000"/>
          <w:sz w:val="20"/>
          <w:szCs w:val="20"/>
        </w:rPr>
        <w:instrText xml:space="preserve"> ADDIN ZOTERO_ITEM CSL_CITATION {"citationID":"YStkvxZe","properties":{"formattedCitation":"(Suriano et al., 2025)","plainCitation":"(Suriano et al., 2025)","noteIndex":0},"citationItems":[{"id":931,"uris":["http://zotero.org/users/local/MvyTXXMq/items/CF68XNGW"],"itemData":{"id":931,"type":"article-journal","container-title":"Learning and Instruction","DOI":"https://doi.org/10.1016/j.learninstruc.2024.102011","page":"102011","title":"Student interaction with ChatGPT can promote complex critical thinking skills.","volume":"95","author":[{"family":"Suriano","given":"R."},{"family":"Plebe","given":"A."},{"family":"Acciai","given":"A."},{"family":"Fabio","given":"R. A."}],"issued":{"date-parts":[["2025"]]}}}],"schema":"https://github.com/citation-style-language/schema/raw/master/csl-citation.json"} </w:instrText>
      </w:r>
      <w:r w:rsidRPr="00972C58">
        <w:rPr>
          <w:color w:val="000000"/>
          <w:sz w:val="20"/>
          <w:szCs w:val="20"/>
        </w:rPr>
        <w:fldChar w:fldCharType="separate"/>
      </w:r>
      <w:r w:rsidRPr="00972C58">
        <w:rPr>
          <w:noProof/>
          <w:color w:val="000000"/>
          <w:sz w:val="20"/>
          <w:szCs w:val="20"/>
        </w:rPr>
        <w:t>(Suriano et al., 2025)</w:t>
      </w:r>
      <w:r w:rsidRPr="00972C58">
        <w:rPr>
          <w:color w:val="000000"/>
          <w:sz w:val="20"/>
          <w:szCs w:val="20"/>
        </w:rPr>
        <w:fldChar w:fldCharType="end"/>
      </w:r>
      <w:r w:rsidRPr="00972C58">
        <w:rPr>
          <w:color w:val="000000"/>
          <w:sz w:val="20"/>
          <w:szCs w:val="20"/>
        </w:rPr>
        <w:t xml:space="preserve"> argued that the overuse of AI could lead to reduced opportunities for students to develop critical thinking and independent problem-solving skills, as they may become accustomed to relying on automated systems for immediate solutions. This dependency can also weaken the role of teachers as active facilitators of learning, as their position shifts towards managing and interpreting AI outputs rather than engaging directly with students. Preserving teacher-student relationships and interactive learning environments is vital to sustaining holistic educational development. </w:t>
      </w:r>
    </w:p>
    <w:p w14:paraId="41D79654" w14:textId="77777777" w:rsidR="00640082" w:rsidRPr="00972C58" w:rsidRDefault="00640082" w:rsidP="004E3DF9">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The challenge for educators lies in striking a balance between integrating AI and maintaining their roles as motivators, mentors, and decision-makers. </w:t>
      </w:r>
      <w:r w:rsidRPr="00972C58">
        <w:rPr>
          <w:color w:val="000000"/>
          <w:sz w:val="20"/>
          <w:szCs w:val="20"/>
        </w:rPr>
        <w:fldChar w:fldCharType="begin"/>
      </w:r>
      <w:r w:rsidRPr="00972C58">
        <w:rPr>
          <w:color w:val="000000"/>
          <w:sz w:val="20"/>
          <w:szCs w:val="20"/>
        </w:rPr>
        <w:instrText xml:space="preserve"> ADDIN ZOTERO_ITEM CSL_CITATION {"citationID":"2Sd3BG5u","properties":{"formattedCitation":"(Zhai et al., 2023)","plainCitation":"(Zhai et al., 2023)","noteIndex":0},"citationItems":[{"id":932,"uris":["http://zotero.org/users/local/MvyTXXMq/items/CLIFIR2G"],"itemData":{"id":932,"type":"article-journal","container-title":"IEEE Transactions on Learning Technologies","DOI":"https://doi.org/10.3390/su15097280","issue":"6","page":"1130-1140","title":"Can Edu-Metaverse reshape virtual teaching community (VTC) to promote educational equity? An exploratory study.","volume":"16","author":[{"family":"Zhai","given":"X. S."},{"family":"Chu","given":"X. Y."},{"family":"Chen","given":"M."},{"family":"Shen","given":"J."},{"family":"Lou","given":"F. L."}],"issued":{"date-parts":[["2023"]]}}}],"schema":"https://github.com/citation-style-language/schema/raw/master/csl-citation.json"} </w:instrText>
      </w:r>
      <w:r w:rsidRPr="00972C58">
        <w:rPr>
          <w:color w:val="000000"/>
          <w:sz w:val="20"/>
          <w:szCs w:val="20"/>
        </w:rPr>
        <w:fldChar w:fldCharType="separate"/>
      </w:r>
      <w:r w:rsidRPr="00972C58">
        <w:rPr>
          <w:noProof/>
          <w:color w:val="000000"/>
          <w:sz w:val="20"/>
          <w:szCs w:val="20"/>
        </w:rPr>
        <w:t>(Zhai et al., 2023)</w:t>
      </w:r>
      <w:r w:rsidRPr="00972C58">
        <w:rPr>
          <w:color w:val="000000"/>
          <w:sz w:val="20"/>
          <w:szCs w:val="20"/>
        </w:rPr>
        <w:fldChar w:fldCharType="end"/>
      </w:r>
      <w:r w:rsidRPr="00972C58">
        <w:rPr>
          <w:color w:val="000000"/>
          <w:sz w:val="20"/>
          <w:szCs w:val="20"/>
        </w:rPr>
        <w:t xml:space="preserve"> emphasized the importance of maintaining human interaction in the classroom, which nurtures emotional connections and resilience among students. This human-centric approach encourages not only cognitive growth but also social and emotional learning, which AI cannot replicate effectively. Integrating AI as a tool rather than a replacement preserves the irreplaceable aspects of teaching, ensuring that education remains a deeply human endeavor enriched, rather than overshadowed, by technology. </w:t>
      </w:r>
    </w:p>
    <w:p w14:paraId="763B865C" w14:textId="77777777" w:rsidR="00640082" w:rsidRPr="00972C58" w:rsidRDefault="00640082" w:rsidP="00822617">
      <w:pPr>
        <w:pStyle w:val="NormalWeb"/>
        <w:spacing w:before="0" w:beforeAutospacing="0" w:after="0" w:afterAutospacing="0"/>
        <w:jc w:val="both"/>
        <w:rPr>
          <w:color w:val="000000"/>
          <w:sz w:val="20"/>
          <w:szCs w:val="20"/>
        </w:rPr>
      </w:pPr>
    </w:p>
    <w:p w14:paraId="649E6424" w14:textId="77777777" w:rsidR="00640082" w:rsidRPr="00972C58" w:rsidRDefault="00640082" w:rsidP="008A7EE8">
      <w:pPr>
        <w:pStyle w:val="NormalWeb"/>
        <w:spacing w:before="0" w:beforeAutospacing="0" w:after="0" w:afterAutospacing="0"/>
        <w:ind w:left="142"/>
        <w:jc w:val="both"/>
        <w:rPr>
          <w:color w:val="000000"/>
          <w:sz w:val="20"/>
          <w:szCs w:val="20"/>
        </w:rPr>
      </w:pPr>
    </w:p>
    <w:p w14:paraId="2B74A880" w14:textId="77777777" w:rsidR="00640082" w:rsidRPr="00972C58" w:rsidRDefault="00640082" w:rsidP="004E3DF9">
      <w:pPr>
        <w:pStyle w:val="NormalWeb"/>
        <w:spacing w:before="0" w:beforeAutospacing="0" w:after="0" w:afterAutospacing="0"/>
        <w:ind w:left="717"/>
        <w:jc w:val="both"/>
        <w:rPr>
          <w:b/>
          <w:bCs/>
          <w:color w:val="000000"/>
          <w:sz w:val="20"/>
          <w:szCs w:val="20"/>
        </w:rPr>
      </w:pPr>
      <w:r w:rsidRPr="00972C58">
        <w:rPr>
          <w:b/>
          <w:bCs/>
          <w:color w:val="000000"/>
          <w:sz w:val="20"/>
          <w:szCs w:val="20"/>
        </w:rPr>
        <w:t>AI and Creativity: Opportunities and Constraints</w:t>
      </w:r>
    </w:p>
    <w:p w14:paraId="3570EDCC" w14:textId="77777777" w:rsidR="00640082" w:rsidRPr="00972C58" w:rsidRDefault="00640082" w:rsidP="004E3DF9">
      <w:pPr>
        <w:pStyle w:val="NormalWeb"/>
        <w:spacing w:before="0" w:beforeAutospacing="0" w:after="0" w:afterAutospacing="0"/>
        <w:ind w:left="717"/>
        <w:jc w:val="both"/>
        <w:rPr>
          <w:b/>
          <w:bCs/>
          <w:color w:val="000000"/>
          <w:sz w:val="20"/>
          <w:szCs w:val="20"/>
        </w:rPr>
      </w:pPr>
    </w:p>
    <w:p w14:paraId="485F86E5" w14:textId="77777777" w:rsidR="00640082" w:rsidRPr="00972C58" w:rsidRDefault="00640082" w:rsidP="008A7EE8">
      <w:pPr>
        <w:pStyle w:val="NormalWeb"/>
        <w:spacing w:before="0" w:beforeAutospacing="0" w:after="0" w:afterAutospacing="0"/>
        <w:ind w:left="717"/>
        <w:jc w:val="center"/>
        <w:rPr>
          <w:sz w:val="20"/>
          <w:szCs w:val="20"/>
        </w:rPr>
      </w:pPr>
      <w:r w:rsidRPr="00972C58">
        <w:rPr>
          <w:b/>
          <w:bCs/>
          <w:sz w:val="20"/>
          <w:szCs w:val="20"/>
        </w:rPr>
        <w:t>Table</w:t>
      </w:r>
      <w:r w:rsidRPr="00972C58">
        <w:rPr>
          <w:b/>
          <w:bCs/>
          <w:spacing w:val="-4"/>
          <w:sz w:val="20"/>
          <w:szCs w:val="20"/>
        </w:rPr>
        <w:t xml:space="preserve"> </w:t>
      </w:r>
      <w:r w:rsidRPr="00972C58">
        <w:rPr>
          <w:b/>
          <w:bCs/>
          <w:sz w:val="20"/>
          <w:szCs w:val="20"/>
        </w:rPr>
        <w:t>3.</w:t>
      </w:r>
      <w:r w:rsidRPr="00972C58">
        <w:rPr>
          <w:spacing w:val="-4"/>
          <w:sz w:val="20"/>
          <w:szCs w:val="20"/>
        </w:rPr>
        <w:t xml:space="preserve"> </w:t>
      </w:r>
      <w:r w:rsidRPr="00972C58">
        <w:rPr>
          <w:sz w:val="20"/>
          <w:szCs w:val="20"/>
        </w:rPr>
        <w:t>AI and Creativity in Education Summary</w:t>
      </w:r>
    </w:p>
    <w:tbl>
      <w:tblPr>
        <w:tblW w:w="7492" w:type="dxa"/>
        <w:jc w:val="center"/>
        <w:tblCellMar>
          <w:left w:w="0" w:type="dxa"/>
          <w:right w:w="0" w:type="dxa"/>
        </w:tblCellMar>
        <w:tblLook w:val="04A0" w:firstRow="1" w:lastRow="0" w:firstColumn="1" w:lastColumn="0" w:noHBand="0" w:noVBand="1"/>
      </w:tblPr>
      <w:tblGrid>
        <w:gridCol w:w="1971"/>
        <w:gridCol w:w="3348"/>
        <w:gridCol w:w="2173"/>
      </w:tblGrid>
      <w:tr w:rsidR="00640082" w:rsidRPr="00972C58" w14:paraId="31037DAE" w14:textId="77777777" w:rsidTr="008A7EE8">
        <w:trPr>
          <w:trHeight w:val="165"/>
          <w:jc w:val="center"/>
        </w:trPr>
        <w:tc>
          <w:tcPr>
            <w:tcW w:w="197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3C6EC97" w14:textId="77777777" w:rsidR="00640082" w:rsidRPr="00972C58" w:rsidRDefault="00640082" w:rsidP="008A7EE8">
            <w:pPr>
              <w:pStyle w:val="NormalWeb"/>
              <w:ind w:left="717" w:hanging="646"/>
              <w:jc w:val="center"/>
              <w:rPr>
                <w:color w:val="000000"/>
                <w:sz w:val="16"/>
                <w:szCs w:val="16"/>
              </w:rPr>
            </w:pPr>
            <w:r w:rsidRPr="00972C58">
              <w:rPr>
                <w:b/>
                <w:bCs/>
                <w:color w:val="000000"/>
                <w:sz w:val="16"/>
                <w:szCs w:val="16"/>
              </w:rPr>
              <w:t>Aspect</w:t>
            </w:r>
          </w:p>
        </w:tc>
        <w:tc>
          <w:tcPr>
            <w:tcW w:w="334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16F17D3" w14:textId="77777777" w:rsidR="00640082" w:rsidRPr="00972C58" w:rsidRDefault="00640082" w:rsidP="008A7EE8">
            <w:pPr>
              <w:pStyle w:val="NormalWeb"/>
              <w:ind w:left="717" w:firstLine="720"/>
              <w:jc w:val="both"/>
              <w:rPr>
                <w:color w:val="000000"/>
                <w:sz w:val="16"/>
                <w:szCs w:val="16"/>
              </w:rPr>
            </w:pPr>
            <w:r w:rsidRPr="00972C58">
              <w:rPr>
                <w:b/>
                <w:bCs/>
                <w:color w:val="000000"/>
                <w:sz w:val="16"/>
                <w:szCs w:val="16"/>
              </w:rPr>
              <w:t>Description</w:t>
            </w:r>
          </w:p>
        </w:tc>
        <w:tc>
          <w:tcPr>
            <w:tcW w:w="217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DF1D19F" w14:textId="77777777" w:rsidR="00640082" w:rsidRPr="00972C58" w:rsidRDefault="00640082" w:rsidP="008A7EE8">
            <w:pPr>
              <w:pStyle w:val="NormalWeb"/>
              <w:ind w:left="717" w:hanging="570"/>
              <w:jc w:val="center"/>
              <w:rPr>
                <w:color w:val="000000"/>
                <w:sz w:val="16"/>
                <w:szCs w:val="16"/>
              </w:rPr>
            </w:pPr>
            <w:r w:rsidRPr="00972C58">
              <w:rPr>
                <w:b/>
                <w:bCs/>
                <w:color w:val="000000"/>
                <w:sz w:val="16"/>
                <w:szCs w:val="16"/>
              </w:rPr>
              <w:t>Relevant Studies</w:t>
            </w:r>
          </w:p>
        </w:tc>
      </w:tr>
      <w:tr w:rsidR="00640082" w:rsidRPr="00972C58" w14:paraId="29379FDD" w14:textId="77777777" w:rsidTr="008A7EE8">
        <w:trPr>
          <w:trHeight w:val="180"/>
          <w:jc w:val="center"/>
        </w:trPr>
        <w:tc>
          <w:tcPr>
            <w:tcW w:w="197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F94989" w14:textId="77777777" w:rsidR="00640082" w:rsidRPr="00972C58" w:rsidRDefault="00640082" w:rsidP="008A7EE8">
            <w:pPr>
              <w:pStyle w:val="NormalWeb"/>
              <w:ind w:left="71"/>
              <w:jc w:val="both"/>
              <w:rPr>
                <w:color w:val="000000"/>
                <w:sz w:val="16"/>
                <w:szCs w:val="16"/>
              </w:rPr>
            </w:pPr>
            <w:r w:rsidRPr="00972C58">
              <w:rPr>
                <w:b/>
                <w:bCs/>
                <w:color w:val="000000"/>
                <w:sz w:val="16"/>
                <w:szCs w:val="16"/>
              </w:rPr>
              <w:t>Facilitation of Creative Processes</w:t>
            </w:r>
          </w:p>
        </w:tc>
        <w:tc>
          <w:tcPr>
            <w:tcW w:w="3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6F7FF" w14:textId="77777777" w:rsidR="00640082" w:rsidRPr="00972C58" w:rsidRDefault="00640082" w:rsidP="008A7EE8">
            <w:pPr>
              <w:pStyle w:val="NormalWeb"/>
              <w:ind w:left="49"/>
              <w:jc w:val="both"/>
              <w:rPr>
                <w:color w:val="000000"/>
                <w:sz w:val="16"/>
                <w:szCs w:val="16"/>
              </w:rPr>
            </w:pPr>
            <w:r w:rsidRPr="00972C58">
              <w:rPr>
                <w:color w:val="000000"/>
                <w:sz w:val="16"/>
                <w:szCs w:val="16"/>
              </w:rPr>
              <w:t>AI tools like Amper Music automate tasks, enabling focus on refining outputs.</w:t>
            </w:r>
          </w:p>
        </w:tc>
        <w:tc>
          <w:tcPr>
            <w:tcW w:w="21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4A26A" w14:textId="77777777" w:rsidR="00640082" w:rsidRPr="00972C58" w:rsidRDefault="00640082" w:rsidP="008A7EE8">
            <w:pPr>
              <w:pStyle w:val="NormalWeb"/>
              <w:ind w:left="53" w:hanging="12"/>
              <w:jc w:val="both"/>
              <w:rPr>
                <w:color w:val="000000"/>
                <w:sz w:val="16"/>
                <w:szCs w:val="16"/>
              </w:rPr>
            </w:pPr>
            <w:r w:rsidRPr="00972C58">
              <w:rPr>
                <w:color w:val="000000"/>
                <w:sz w:val="16"/>
                <w:szCs w:val="16"/>
              </w:rPr>
              <w:t>Erpelding et al. (2024)</w:t>
            </w:r>
          </w:p>
        </w:tc>
      </w:tr>
      <w:tr w:rsidR="00640082" w:rsidRPr="00972C58" w14:paraId="3D9EB439" w14:textId="77777777" w:rsidTr="008A7EE8">
        <w:trPr>
          <w:trHeight w:val="165"/>
          <w:jc w:val="center"/>
        </w:trPr>
        <w:tc>
          <w:tcPr>
            <w:tcW w:w="197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FCB594" w14:textId="77777777" w:rsidR="00640082" w:rsidRPr="00972C58" w:rsidRDefault="00640082" w:rsidP="008A7EE8">
            <w:pPr>
              <w:pStyle w:val="NormalWeb"/>
              <w:ind w:left="71"/>
              <w:jc w:val="both"/>
              <w:rPr>
                <w:color w:val="000000"/>
                <w:sz w:val="16"/>
                <w:szCs w:val="16"/>
              </w:rPr>
            </w:pPr>
            <w:r w:rsidRPr="00972C58">
              <w:rPr>
                <w:b/>
                <w:bCs/>
                <w:color w:val="000000"/>
                <w:sz w:val="16"/>
                <w:szCs w:val="16"/>
              </w:rPr>
              <w:t>Imitation of Human Creativity</w:t>
            </w:r>
          </w:p>
        </w:tc>
        <w:tc>
          <w:tcPr>
            <w:tcW w:w="3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ED5DE" w14:textId="77777777" w:rsidR="00640082" w:rsidRPr="00972C58" w:rsidRDefault="00640082" w:rsidP="008A7EE8">
            <w:pPr>
              <w:pStyle w:val="NormalWeb"/>
              <w:ind w:left="49"/>
              <w:jc w:val="both"/>
              <w:rPr>
                <w:color w:val="000000"/>
                <w:sz w:val="16"/>
                <w:szCs w:val="16"/>
              </w:rPr>
            </w:pPr>
            <w:r w:rsidRPr="00972C58">
              <w:rPr>
                <w:color w:val="000000"/>
                <w:sz w:val="16"/>
                <w:szCs w:val="16"/>
              </w:rPr>
              <w:t>AI can mimic certain creative outputs but lacks emotional and cultural depth.</w:t>
            </w:r>
          </w:p>
        </w:tc>
        <w:tc>
          <w:tcPr>
            <w:tcW w:w="21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F7D17" w14:textId="77777777" w:rsidR="00640082" w:rsidRPr="00972C58" w:rsidRDefault="00640082" w:rsidP="008A7EE8">
            <w:pPr>
              <w:pStyle w:val="NormalWeb"/>
              <w:ind w:left="53" w:hanging="12"/>
              <w:jc w:val="both"/>
              <w:rPr>
                <w:color w:val="000000"/>
                <w:sz w:val="16"/>
                <w:szCs w:val="16"/>
              </w:rPr>
            </w:pPr>
            <w:r w:rsidRPr="00972C58">
              <w:rPr>
                <w:color w:val="000000"/>
                <w:sz w:val="16"/>
                <w:szCs w:val="16"/>
              </w:rPr>
              <w:t>Boden (2016), Colton &amp; Wiggins (2012)</w:t>
            </w:r>
          </w:p>
        </w:tc>
      </w:tr>
      <w:tr w:rsidR="00640082" w:rsidRPr="00972C58" w14:paraId="62E26ACB" w14:textId="77777777" w:rsidTr="008A7EE8">
        <w:trPr>
          <w:trHeight w:val="165"/>
          <w:jc w:val="center"/>
        </w:trPr>
        <w:tc>
          <w:tcPr>
            <w:tcW w:w="197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74B285" w14:textId="77777777" w:rsidR="00640082" w:rsidRPr="00972C58" w:rsidRDefault="00640082" w:rsidP="008A7EE8">
            <w:pPr>
              <w:pStyle w:val="NormalWeb"/>
              <w:ind w:left="71"/>
              <w:jc w:val="both"/>
              <w:rPr>
                <w:color w:val="000000"/>
                <w:sz w:val="16"/>
                <w:szCs w:val="16"/>
              </w:rPr>
            </w:pPr>
            <w:r w:rsidRPr="00972C58">
              <w:rPr>
                <w:b/>
                <w:bCs/>
                <w:color w:val="000000"/>
                <w:sz w:val="16"/>
                <w:szCs w:val="16"/>
              </w:rPr>
              <w:t>Impact on Skill Development</w:t>
            </w:r>
          </w:p>
        </w:tc>
        <w:tc>
          <w:tcPr>
            <w:tcW w:w="3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15A8D" w14:textId="77777777" w:rsidR="00640082" w:rsidRPr="00972C58" w:rsidRDefault="00640082" w:rsidP="008A7EE8">
            <w:pPr>
              <w:pStyle w:val="NormalWeb"/>
              <w:ind w:left="49"/>
              <w:jc w:val="both"/>
              <w:rPr>
                <w:color w:val="000000"/>
                <w:sz w:val="16"/>
                <w:szCs w:val="16"/>
              </w:rPr>
            </w:pPr>
            <w:r w:rsidRPr="00972C58">
              <w:rPr>
                <w:color w:val="000000"/>
                <w:sz w:val="16"/>
                <w:szCs w:val="16"/>
              </w:rPr>
              <w:t>Overreliance on AI may reduce opportunities for independent thinking and original ideation.</w:t>
            </w:r>
          </w:p>
        </w:tc>
        <w:tc>
          <w:tcPr>
            <w:tcW w:w="21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BC2F2" w14:textId="77777777" w:rsidR="00640082" w:rsidRPr="00972C58" w:rsidRDefault="00640082" w:rsidP="008A7EE8">
            <w:pPr>
              <w:pStyle w:val="NormalWeb"/>
              <w:ind w:left="53" w:hanging="12"/>
              <w:jc w:val="both"/>
              <w:rPr>
                <w:color w:val="000000"/>
                <w:sz w:val="16"/>
                <w:szCs w:val="16"/>
              </w:rPr>
            </w:pPr>
            <w:r w:rsidRPr="00972C58">
              <w:rPr>
                <w:color w:val="000000"/>
                <w:sz w:val="16"/>
                <w:szCs w:val="16"/>
              </w:rPr>
              <w:t>Boden (2016)</w:t>
            </w:r>
          </w:p>
        </w:tc>
      </w:tr>
      <w:tr w:rsidR="00640082" w:rsidRPr="00972C58" w14:paraId="6E0814DD" w14:textId="77777777" w:rsidTr="008A7EE8">
        <w:trPr>
          <w:trHeight w:val="165"/>
          <w:jc w:val="center"/>
        </w:trPr>
        <w:tc>
          <w:tcPr>
            <w:tcW w:w="197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27E662" w14:textId="77777777" w:rsidR="00640082" w:rsidRPr="00972C58" w:rsidRDefault="00640082" w:rsidP="008A7EE8">
            <w:pPr>
              <w:pStyle w:val="NormalWeb"/>
              <w:ind w:left="71"/>
              <w:jc w:val="both"/>
              <w:rPr>
                <w:color w:val="000000"/>
                <w:sz w:val="16"/>
                <w:szCs w:val="16"/>
              </w:rPr>
            </w:pPr>
            <w:r w:rsidRPr="00972C58">
              <w:rPr>
                <w:b/>
                <w:bCs/>
                <w:color w:val="000000"/>
                <w:sz w:val="16"/>
                <w:szCs w:val="16"/>
              </w:rPr>
              <w:t>Role of Educators</w:t>
            </w:r>
          </w:p>
        </w:tc>
        <w:tc>
          <w:tcPr>
            <w:tcW w:w="33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E0203" w14:textId="77777777" w:rsidR="00640082" w:rsidRPr="00972C58" w:rsidRDefault="00640082" w:rsidP="008A7EE8">
            <w:pPr>
              <w:pStyle w:val="NormalWeb"/>
              <w:ind w:left="49"/>
              <w:jc w:val="both"/>
              <w:rPr>
                <w:color w:val="000000"/>
                <w:sz w:val="16"/>
                <w:szCs w:val="16"/>
              </w:rPr>
            </w:pPr>
            <w:r w:rsidRPr="00972C58">
              <w:rPr>
                <w:color w:val="000000"/>
                <w:sz w:val="16"/>
                <w:szCs w:val="16"/>
              </w:rPr>
              <w:t>Educators should integrate AI as an enhancement, preserving human creativity and insight.</w:t>
            </w:r>
          </w:p>
        </w:tc>
        <w:tc>
          <w:tcPr>
            <w:tcW w:w="21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000B6" w14:textId="77777777" w:rsidR="00640082" w:rsidRPr="00972C58" w:rsidRDefault="00640082" w:rsidP="008A7EE8">
            <w:pPr>
              <w:pStyle w:val="NormalWeb"/>
              <w:ind w:left="53" w:hanging="12"/>
              <w:jc w:val="both"/>
              <w:rPr>
                <w:color w:val="000000"/>
                <w:sz w:val="16"/>
                <w:szCs w:val="16"/>
              </w:rPr>
            </w:pPr>
            <w:r w:rsidRPr="00972C58">
              <w:rPr>
                <w:color w:val="000000"/>
                <w:sz w:val="16"/>
                <w:szCs w:val="16"/>
              </w:rPr>
              <w:t>Colton &amp; Wiggins (2012)</w:t>
            </w:r>
          </w:p>
        </w:tc>
      </w:tr>
    </w:tbl>
    <w:p w14:paraId="47155ED1" w14:textId="77777777" w:rsidR="00640082" w:rsidRPr="00972C58" w:rsidRDefault="00640082" w:rsidP="008A7EE8">
      <w:pPr>
        <w:pStyle w:val="NormalWeb"/>
        <w:spacing w:before="0" w:beforeAutospacing="0" w:after="0" w:afterAutospacing="0"/>
        <w:ind w:firstLine="717"/>
        <w:rPr>
          <w:color w:val="000000"/>
          <w:sz w:val="20"/>
          <w:szCs w:val="20"/>
        </w:rPr>
      </w:pPr>
      <w:r w:rsidRPr="00972C58">
        <w:rPr>
          <w:color w:val="000000"/>
          <w:sz w:val="20"/>
          <w:szCs w:val="20"/>
        </w:rPr>
        <w:t>Source: Processed by researchers</w:t>
      </w:r>
    </w:p>
    <w:p w14:paraId="19E34D92" w14:textId="77777777" w:rsidR="00640082" w:rsidRPr="00972C58" w:rsidRDefault="00640082" w:rsidP="004E3DF9">
      <w:pPr>
        <w:pStyle w:val="NormalWeb"/>
        <w:spacing w:before="0" w:beforeAutospacing="0" w:after="0" w:afterAutospacing="0"/>
        <w:ind w:left="717" w:firstLine="720"/>
        <w:jc w:val="both"/>
        <w:rPr>
          <w:color w:val="000000"/>
          <w:sz w:val="20"/>
          <w:szCs w:val="20"/>
        </w:rPr>
      </w:pPr>
    </w:p>
    <w:p w14:paraId="4023A51E"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AI’s influence on creativity in education represents both an exciting frontier and a source of critical debate. The advent of AI-powered creative tools has allowed educators and students to approach artistic and intellectual projects in innovative ways. Technologies such as Amper music and Jukin Media exemplify how AI can facilitate and accelerate the creative process by automating complex tasks like composing music or editing videos, thus freeing users to concentrate on customization and refining their outputs </w:t>
      </w:r>
      <w:r w:rsidRPr="00972C58">
        <w:rPr>
          <w:color w:val="000000"/>
          <w:sz w:val="20"/>
          <w:szCs w:val="20"/>
        </w:rPr>
        <w:fldChar w:fldCharType="begin"/>
      </w:r>
      <w:r w:rsidRPr="00972C58">
        <w:rPr>
          <w:color w:val="000000"/>
          <w:sz w:val="20"/>
          <w:szCs w:val="20"/>
        </w:rPr>
        <w:instrText xml:space="preserve"> ADDIN ZOTERO_ITEM CSL_CITATION {"citationID":"PlBlcEBB","properties":{"formattedCitation":"(Erpelding et al., 2024)","plainCitation":"(Erpelding et al., 2024)","noteIndex":0},"citationItems":[{"id":933,"uris":["http://zotero.org/users/local/MvyTXXMq/items/VWI7XUZW"],"itemData":{"id":933,"type":"article-journal","container-title":"Journal of Film and Video","issue":"1","page":"44-55","title":"Forum on Artificial Intelligence.","volume":"76","author":[{"family":"Erpelding","given":"C."},{"family":"Beck","given":"J."},{"family":"Swerzenski","given":"J. D."},{"family":"Brecheisen","given":"T."}],"issued":{"date-parts":[["2024"]]}}}],"schema":"https://github.com/citation-style-language/schema/raw/master/csl-citation.json"} </w:instrText>
      </w:r>
      <w:r w:rsidRPr="00972C58">
        <w:rPr>
          <w:color w:val="000000"/>
          <w:sz w:val="20"/>
          <w:szCs w:val="20"/>
        </w:rPr>
        <w:fldChar w:fldCharType="separate"/>
      </w:r>
      <w:r w:rsidRPr="00972C58">
        <w:rPr>
          <w:noProof/>
          <w:color w:val="000000"/>
          <w:sz w:val="20"/>
          <w:szCs w:val="20"/>
        </w:rPr>
        <w:t>(Erpelding et al., 2024)</w:t>
      </w:r>
      <w:r w:rsidRPr="00972C58">
        <w:rPr>
          <w:color w:val="000000"/>
          <w:sz w:val="20"/>
          <w:szCs w:val="20"/>
        </w:rPr>
        <w:fldChar w:fldCharType="end"/>
      </w:r>
      <w:r w:rsidRPr="00972C58">
        <w:rPr>
          <w:color w:val="000000"/>
          <w:sz w:val="20"/>
          <w:szCs w:val="20"/>
        </w:rPr>
        <w:t xml:space="preserve">. This capability fosters a more efficient workflow, enabling learners to experiment with various forms of expression and receive immediate feedback on their work. </w:t>
      </w:r>
    </w:p>
    <w:p w14:paraId="328249E3"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However, there is a growing consensus that while AI can replicate certain components of creativity, it does not embody the true essence of human creative thought. AI algorithms excel at recognizing patterns, combining pre-existing data, and producing content that may appear original. Yet, these outputs often lack the depth and emotional significance imbued by human creators who draw from personal experiences, intuition, and cultural understanding </w:t>
      </w:r>
      <w:r w:rsidRPr="00972C58">
        <w:rPr>
          <w:color w:val="000000"/>
          <w:sz w:val="20"/>
          <w:szCs w:val="20"/>
        </w:rPr>
        <w:fldChar w:fldCharType="begin"/>
      </w:r>
      <w:r w:rsidRPr="00972C58">
        <w:rPr>
          <w:color w:val="000000"/>
          <w:sz w:val="20"/>
          <w:szCs w:val="20"/>
        </w:rPr>
        <w:instrText xml:space="preserve"> ADDIN ZOTERO_ITEM CSL_CITATION {"citationID":"964iu5ph","properties":{"formattedCitation":"(Boden, 2016)","plainCitation":"(Boden, 2016)","noteIndex":0},"citationItems":[{"id":934,"uris":["http://zotero.org/users/local/MvyTXXMq/items/XUY9IYRK"],"itemData":{"id":934,"type":"book","event-place":"New York","publisher":"Oxford University Press","publisher-place":"New York","title":"AI: Its nature and future.","author":[{"family":"Boden","given":"M. A."}],"issued":{"date-parts":[["2016"]]}}}],"schema":"https://github.com/citation-style-language/schema/raw/master/csl-citation.json"} </w:instrText>
      </w:r>
      <w:r w:rsidRPr="00972C58">
        <w:rPr>
          <w:color w:val="000000"/>
          <w:sz w:val="20"/>
          <w:szCs w:val="20"/>
        </w:rPr>
        <w:fldChar w:fldCharType="separate"/>
      </w:r>
      <w:r w:rsidRPr="00972C58">
        <w:rPr>
          <w:noProof/>
          <w:color w:val="000000"/>
          <w:sz w:val="20"/>
          <w:szCs w:val="20"/>
        </w:rPr>
        <w:t>(Boden, 2016)</w:t>
      </w:r>
      <w:r w:rsidRPr="00972C58">
        <w:rPr>
          <w:color w:val="000000"/>
          <w:sz w:val="20"/>
          <w:szCs w:val="20"/>
        </w:rPr>
        <w:fldChar w:fldCharType="end"/>
      </w:r>
      <w:r w:rsidRPr="00972C58">
        <w:rPr>
          <w:color w:val="000000"/>
          <w:sz w:val="20"/>
          <w:szCs w:val="20"/>
        </w:rPr>
        <w:t xml:space="preserve">. This limitation suggests that while AI-generated content can be impressive, it often lacks the context and subtlety necessary for true artistic innovation. </w:t>
      </w:r>
      <w:r w:rsidRPr="00972C58">
        <w:rPr>
          <w:color w:val="000000"/>
          <w:sz w:val="20"/>
          <w:szCs w:val="20"/>
        </w:rPr>
        <w:fldChar w:fldCharType="begin"/>
      </w:r>
      <w:r w:rsidRPr="00972C58">
        <w:rPr>
          <w:color w:val="000000"/>
          <w:sz w:val="20"/>
          <w:szCs w:val="20"/>
        </w:rPr>
        <w:instrText xml:space="preserve"> ADDIN ZOTERO_ITEM CSL_CITATION {"citationID":"tKaJ3upB","properties":{"formattedCitation":"(Colton &amp; Wiggins, 2012)","plainCitation":"(Colton &amp; Wiggins, 2012)","noteIndex":0},"citationItems":[{"id":935,"uris":["http://zotero.org/users/local/MvyTXXMq/items/V3KVIS6K"],"itemData":{"id":935,"type":"chapter","container-title":"ECAI 2012","page":"21-26","publisher":"IOS Press","title":"Computational creativity: The final frontier?.","author":[{"family":"Colton","given":"S."},{"family":"Wiggins","given":"G. A."}],"issued":{"date-parts":[["2012"]]}}}],"schema":"https://github.com/citation-style-language/schema/raw/master/csl-citation.json"} </w:instrText>
      </w:r>
      <w:r w:rsidRPr="00972C58">
        <w:rPr>
          <w:color w:val="000000"/>
          <w:sz w:val="20"/>
          <w:szCs w:val="20"/>
        </w:rPr>
        <w:fldChar w:fldCharType="separate"/>
      </w:r>
      <w:r w:rsidRPr="00972C58">
        <w:rPr>
          <w:noProof/>
          <w:color w:val="000000"/>
          <w:sz w:val="20"/>
          <w:szCs w:val="20"/>
        </w:rPr>
        <w:t>(Colton &amp; Wiggins, 2012)</w:t>
      </w:r>
      <w:r w:rsidRPr="00972C58">
        <w:rPr>
          <w:color w:val="000000"/>
          <w:sz w:val="20"/>
          <w:szCs w:val="20"/>
        </w:rPr>
        <w:fldChar w:fldCharType="end"/>
      </w:r>
      <w:r w:rsidRPr="00972C58">
        <w:rPr>
          <w:color w:val="000000"/>
          <w:sz w:val="20"/>
          <w:szCs w:val="20"/>
        </w:rPr>
        <w:t xml:space="preserve"> argue that creativity is not only about generating novel ideas but also about understanding their relevance and meaning, a trait still exclusive to human cognition. </w:t>
      </w:r>
    </w:p>
    <w:p w14:paraId="4B596913"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The implications of AI in creative education also extend to skill development and intellectual growth. There is concern that students may become overly dependent on AI tools, which could limit their engagement in the essential processes of brainstorming, problem-solving, and critical analysis. If AI solutions are used without careful moderation, students may miss the opportunity to cultivate their unique creative voices and the resilience that comes from navigating the challenges of original thought. This dependency on AI may inadvertently hinder their ability to think independently and develop nuanced, self-driven projects that showcase their skills and perspectives. </w:t>
      </w:r>
    </w:p>
    <w:p w14:paraId="4020CF0D" w14:textId="77777777" w:rsidR="00640082" w:rsidRPr="00972C58" w:rsidRDefault="00640082" w:rsidP="00E1677F">
      <w:pPr>
        <w:pStyle w:val="NormalWeb"/>
        <w:spacing w:before="0" w:beforeAutospacing="0" w:after="0" w:afterAutospacing="0"/>
        <w:ind w:left="717" w:firstLine="720"/>
        <w:jc w:val="both"/>
        <w:rPr>
          <w:color w:val="000000"/>
          <w:sz w:val="20"/>
          <w:szCs w:val="20"/>
        </w:rPr>
      </w:pPr>
      <w:r w:rsidRPr="00972C58">
        <w:rPr>
          <w:color w:val="000000"/>
          <w:sz w:val="20"/>
          <w:szCs w:val="20"/>
        </w:rPr>
        <w:t xml:space="preserve">Educators play a vital role in navigating this balance by integrating AI as a complementary tool rather than the focal point of the creative process. AI should serve to enhance educational experience by enabling students to push the boundaries of what they can achieve while preserving the central importance of human insights and interpretative skills. By fostering environments where students use AI to augment their creative work, rather than replace their efforts, educators can maintain a healthy synergy that promotes innovation without compromising the development of core creative capabilities. This approach encourages learners to see AI as a partner in exploration, allowing them to leverage technology while still engaging deeply with their creative instincts. </w:t>
      </w:r>
    </w:p>
    <w:p w14:paraId="45B3F4B2" w14:textId="77777777" w:rsidR="00640082" w:rsidRPr="00972C58" w:rsidRDefault="00640082" w:rsidP="00E1677F">
      <w:pPr>
        <w:pStyle w:val="NormalWeb"/>
        <w:spacing w:before="0" w:beforeAutospacing="0" w:after="0" w:afterAutospacing="0"/>
        <w:ind w:left="717" w:firstLine="720"/>
        <w:jc w:val="both"/>
        <w:rPr>
          <w:color w:val="000000"/>
          <w:sz w:val="20"/>
          <w:szCs w:val="20"/>
        </w:rPr>
      </w:pPr>
    </w:p>
    <w:p w14:paraId="23BF3BBD" w14:textId="77777777" w:rsidR="00640082" w:rsidRPr="00972C58" w:rsidRDefault="00640082" w:rsidP="00A64956">
      <w:pPr>
        <w:pStyle w:val="NormalWeb"/>
        <w:spacing w:before="0" w:beforeAutospacing="0" w:after="0" w:afterAutospacing="0"/>
        <w:ind w:left="717"/>
        <w:jc w:val="both"/>
        <w:rPr>
          <w:b/>
          <w:bCs/>
          <w:color w:val="000000"/>
          <w:sz w:val="20"/>
          <w:szCs w:val="20"/>
        </w:rPr>
      </w:pPr>
      <w:r w:rsidRPr="00972C58">
        <w:rPr>
          <w:b/>
          <w:bCs/>
          <w:color w:val="000000"/>
          <w:sz w:val="20"/>
          <w:szCs w:val="20"/>
        </w:rPr>
        <w:t>Human-AI Collaboration in Education: Communication Perspectives and Ethical Implications</w:t>
      </w:r>
    </w:p>
    <w:p w14:paraId="7A638AC9" w14:textId="77777777" w:rsidR="00640082" w:rsidRPr="00972C58" w:rsidRDefault="00640082" w:rsidP="00A64956">
      <w:pPr>
        <w:pStyle w:val="NormalWeb"/>
        <w:spacing w:before="0" w:beforeAutospacing="0" w:after="0" w:afterAutospacing="0"/>
        <w:ind w:left="717"/>
        <w:jc w:val="both"/>
        <w:rPr>
          <w:color w:val="000000"/>
          <w:sz w:val="20"/>
          <w:szCs w:val="20"/>
        </w:rPr>
      </w:pPr>
      <w:r w:rsidRPr="00972C58">
        <w:rPr>
          <w:b/>
          <w:bCs/>
          <w:color w:val="000000"/>
          <w:sz w:val="20"/>
          <w:szCs w:val="20"/>
        </w:rPr>
        <w:tab/>
      </w:r>
      <w:r w:rsidRPr="00972C58">
        <w:rPr>
          <w:b/>
          <w:bCs/>
          <w:color w:val="000000"/>
          <w:sz w:val="20"/>
          <w:szCs w:val="20"/>
        </w:rPr>
        <w:tab/>
      </w:r>
      <w:r w:rsidRPr="00972C58">
        <w:rPr>
          <w:color w:val="000000"/>
          <w:sz w:val="20"/>
          <w:szCs w:val="20"/>
        </w:rPr>
        <w:t xml:space="preserve">The collaboration between humans and AI in education embodies a transformative shift that redefines how learning experiences are designed, delivered, and evaluated. This symbiotic relationship offers opportunities to harness the best of human creativity and AI’s analytical power to create personalized, effective educational environments. AI’s potential for processing and analyzing vast amounts of data enables educators to gain insights that were previously unattainable, facilitating targeted interventions and more adaptive learning experiences </w:t>
      </w:r>
      <w:r w:rsidRPr="00972C58">
        <w:rPr>
          <w:color w:val="000000"/>
          <w:sz w:val="20"/>
          <w:szCs w:val="20"/>
        </w:rPr>
        <w:fldChar w:fldCharType="begin"/>
      </w:r>
      <w:r w:rsidRPr="00972C58">
        <w:rPr>
          <w:color w:val="000000"/>
          <w:sz w:val="20"/>
          <w:szCs w:val="20"/>
        </w:rPr>
        <w:instrText xml:space="preserve"> ADDIN ZOTERO_ITEM CSL_CITATION {"citationID":"VHMXiI8o","properties":{"formattedCitation":"(Luan et al., 2020)","plainCitation":"(Luan et al., 2020)","noteIndex":0},"citationItems":[{"id":936,"uris":["http://zotero.org/users/local/MvyTXXMq/items/NYPPSUHS"],"itemData":{"id":936,"type":"article-journal","container-title":"Frontiers in Psychology","DOI":"https://doi.org/10.3389/fpsyg.2020.580820","page":"580820","title":"Challenges and future directions of big data and artificial intelligence in education.","volume":"11","author":[{"family":"Luan","given":"H."},{"family":"Geczy","given":"P."},{"family":"Lai","given":"H."},{"family":"Gobert","given":"J."},{"family":"Yang","given":"S. J."},{"family":"Ogata","given":"H."},{"family":"Tsai","given":"C. C."}],"issued":{"date-parts":[["2020"]]}}}],"schema":"https://github.com/citation-style-language/schema/raw/master/csl-citation.json"} </w:instrText>
      </w:r>
      <w:r w:rsidRPr="00972C58">
        <w:rPr>
          <w:color w:val="000000"/>
          <w:sz w:val="20"/>
          <w:szCs w:val="20"/>
        </w:rPr>
        <w:fldChar w:fldCharType="separate"/>
      </w:r>
      <w:r w:rsidRPr="00972C58">
        <w:rPr>
          <w:noProof/>
          <w:color w:val="000000"/>
          <w:sz w:val="20"/>
          <w:szCs w:val="20"/>
        </w:rPr>
        <w:t>(Luan et al., 2020)</w:t>
      </w:r>
      <w:r w:rsidRPr="00972C58">
        <w:rPr>
          <w:color w:val="000000"/>
          <w:sz w:val="20"/>
          <w:szCs w:val="20"/>
        </w:rPr>
        <w:fldChar w:fldCharType="end"/>
      </w:r>
      <w:r w:rsidRPr="00972C58">
        <w:rPr>
          <w:color w:val="000000"/>
          <w:sz w:val="20"/>
          <w:szCs w:val="20"/>
        </w:rPr>
        <w:t xml:space="preserve">. The promise of AI lies not only in enhancing individual student performance but also in supporting differentiated instruction that caters to diverse learning style and needs. </w:t>
      </w:r>
    </w:p>
    <w:p w14:paraId="57D04C03" w14:textId="77777777" w:rsidR="00640082" w:rsidRPr="00972C58" w:rsidRDefault="00640082" w:rsidP="00A64956">
      <w:pPr>
        <w:pStyle w:val="NormalWeb"/>
        <w:spacing w:before="0" w:beforeAutospacing="0" w:after="0" w:afterAutospacing="0"/>
        <w:ind w:left="717"/>
        <w:jc w:val="both"/>
        <w:rPr>
          <w:color w:val="000000"/>
          <w:sz w:val="20"/>
          <w:szCs w:val="20"/>
        </w:rPr>
      </w:pPr>
      <w:r w:rsidRPr="00972C58">
        <w:rPr>
          <w:color w:val="000000"/>
          <w:sz w:val="20"/>
          <w:szCs w:val="20"/>
        </w:rPr>
        <w:tab/>
      </w:r>
      <w:r w:rsidRPr="00972C58">
        <w:rPr>
          <w:color w:val="000000"/>
          <w:sz w:val="20"/>
          <w:szCs w:val="20"/>
        </w:rPr>
        <w:tab/>
        <w:t xml:space="preserve">However, from a communication studies perspective, this collaboration poses significant challenges that extend beyond technical and instructional issues to the relational dynamics between technology, educators, and students. The nuanced role of communication in this relationship is critical; effective implementation of Ai requires transparent communication channels that clearly define the role of AI tools and the educator’s authority in guiding the learning process. Educators need to articulate their interpretation of AI-generated insights to students, creating a shared understanding that balances technological guidance with human-centric teaching. This balance reinforces trust and mitigates any perception that human judgement is being sidelined in favor of machine logic. </w:t>
      </w:r>
    </w:p>
    <w:p w14:paraId="6D00E6D4" w14:textId="77777777" w:rsidR="00640082" w:rsidRPr="00972C58" w:rsidRDefault="00640082" w:rsidP="00A64956">
      <w:pPr>
        <w:pStyle w:val="NormalWeb"/>
        <w:spacing w:before="0" w:beforeAutospacing="0" w:after="0" w:afterAutospacing="0"/>
        <w:ind w:left="717"/>
        <w:jc w:val="both"/>
        <w:rPr>
          <w:color w:val="000000"/>
          <w:sz w:val="20"/>
          <w:szCs w:val="20"/>
        </w:rPr>
      </w:pPr>
      <w:r w:rsidRPr="00972C58">
        <w:rPr>
          <w:color w:val="000000"/>
          <w:sz w:val="20"/>
          <w:szCs w:val="20"/>
        </w:rPr>
        <w:tab/>
      </w:r>
      <w:r w:rsidRPr="00972C58">
        <w:rPr>
          <w:color w:val="000000"/>
          <w:sz w:val="20"/>
          <w:szCs w:val="20"/>
        </w:rPr>
        <w:tab/>
        <w:t xml:space="preserve">Ethical considerations play an essential role in this dialogue. AI’s involvement in collecting and processing student data necessitates adherence to strict privacy standards </w:t>
      </w:r>
      <w:r w:rsidRPr="00972C58">
        <w:rPr>
          <w:color w:val="000000"/>
          <w:sz w:val="20"/>
          <w:szCs w:val="20"/>
        </w:rPr>
        <w:fldChar w:fldCharType="begin"/>
      </w:r>
      <w:r w:rsidRPr="00972C58">
        <w:rPr>
          <w:color w:val="000000"/>
          <w:sz w:val="20"/>
          <w:szCs w:val="20"/>
        </w:rPr>
        <w:instrText xml:space="preserve"> ADDIN ZOTERO_ITEM CSL_CITATION {"citationID":"6xObuYms","properties":{"formattedCitation":"(Floridi et al., 2018)","plainCitation":"(Floridi et al., 2018)","noteIndex":0},"citationItems":[{"id":930,"uris":["http://zotero.org/users/local/MvyTXXMq/items/V3849TM4"],"itemData":{"id":930,"type":"article-journal","container-title":"Minds and Machines","page":"689-707","title":"AI4People—an ethical framework for a good AI society: opportunities, risks, principles, and recommendations.","volume":"28","author":[{"family":"Floridi","given":"L."},{"family":"Cowls","given":"J."},{"family":"Beltrametti","given":"M."},{"family":"Chatila","given":"R."},{"family":"Chazerand","given":"P."},{"family":"Dignum","given":"V."},{"family":"Vayena","given":"E."}],"issued":{"date-parts":[["2018"]]}}}],"schema":"https://github.com/citation-style-language/schema/raw/master/csl-citation.json"} </w:instrText>
      </w:r>
      <w:r w:rsidRPr="00972C58">
        <w:rPr>
          <w:color w:val="000000"/>
          <w:sz w:val="20"/>
          <w:szCs w:val="20"/>
        </w:rPr>
        <w:fldChar w:fldCharType="separate"/>
      </w:r>
      <w:r w:rsidRPr="00972C58">
        <w:rPr>
          <w:noProof/>
          <w:color w:val="000000"/>
          <w:sz w:val="20"/>
          <w:szCs w:val="20"/>
        </w:rPr>
        <w:t>(Floridi et al., 2018)</w:t>
      </w:r>
      <w:r w:rsidRPr="00972C58">
        <w:rPr>
          <w:color w:val="000000"/>
          <w:sz w:val="20"/>
          <w:szCs w:val="20"/>
        </w:rPr>
        <w:fldChar w:fldCharType="end"/>
      </w:r>
      <w:r w:rsidRPr="00972C58">
        <w:rPr>
          <w:color w:val="000000"/>
          <w:sz w:val="20"/>
          <w:szCs w:val="20"/>
        </w:rPr>
        <w:t xml:space="preserve">. Ensuring that students and parents are aware of how data is used, and maintaining open communication must address the potential biases that AI systems can inherit from their training data. Educators need to be vigilant in assessing AI outputs, applying their judgement to ensure that AI’s recommendations align with fair and inclusive practices. The discussion on data ethics should be a collaborative one, engaging stakeholders, including students, to create a shared understanding of the technology’s strengths and limitations. </w:t>
      </w:r>
    </w:p>
    <w:p w14:paraId="56A447C1" w14:textId="77777777" w:rsidR="00640082" w:rsidRPr="00972C58" w:rsidRDefault="00640082" w:rsidP="00A64956">
      <w:pPr>
        <w:pStyle w:val="NormalWeb"/>
        <w:spacing w:before="0" w:beforeAutospacing="0" w:after="0" w:afterAutospacing="0"/>
        <w:ind w:left="717"/>
        <w:jc w:val="both"/>
        <w:rPr>
          <w:color w:val="000000"/>
          <w:sz w:val="20"/>
          <w:szCs w:val="20"/>
        </w:rPr>
      </w:pPr>
      <w:r w:rsidRPr="00972C58">
        <w:rPr>
          <w:color w:val="000000"/>
          <w:sz w:val="20"/>
          <w:szCs w:val="20"/>
        </w:rPr>
        <w:tab/>
      </w:r>
      <w:r w:rsidRPr="00972C58">
        <w:rPr>
          <w:color w:val="000000"/>
          <w:sz w:val="20"/>
          <w:szCs w:val="20"/>
        </w:rPr>
        <w:tab/>
        <w:t xml:space="preserve">Training programs for educators must emphasize not only technical proficiency but also critical thinking and communication skills that allow them to explain, question, and adjust AI outputs as necessary. This comprehensive approach ensures that teachers remain active facilitators in the educational process, capable of leveraging AI while maintaining their pedagogical authority. From a communication standpoint, this empowers educators to play a dual role: as interpreters of data-driven recommendations and as conveyors of empathy and adaptability in the classroom. By doing so, the teaching process remains dynamic and interactive, fostering a learning environment where human judgement is amplified rather than diminished by AI </w:t>
      </w:r>
      <w:r w:rsidRPr="00972C58">
        <w:rPr>
          <w:color w:val="000000"/>
          <w:sz w:val="20"/>
          <w:szCs w:val="20"/>
        </w:rPr>
        <w:fldChar w:fldCharType="begin"/>
      </w:r>
      <w:r w:rsidRPr="00972C58">
        <w:rPr>
          <w:color w:val="000000"/>
          <w:sz w:val="20"/>
          <w:szCs w:val="20"/>
        </w:rPr>
        <w:instrText xml:space="preserve"> ADDIN ZOTERO_ITEM CSL_CITATION {"citationID":"yq0JLmtX","properties":{"formattedCitation":"(Zuboff, 2019)","plainCitation":"(Zuboff, 2019)","noteIndex":0},"citationItems":[{"id":928,"uris":["http://zotero.org/users/local/MvyTXXMq/items/9HQMM867"],"itemData":{"id":928,"type":"chapter","container-title":"Human rights in the age of platforms,","event-place":"Cambridge, Massachusets","page":"3-51.","publisher":"The MIT Press","publisher-place":"Cambridge, Massachusets","title":"‘We make them dance’: surveillance capitalism, the rise of instrumentarian power, and the threat to human rights.","author":[{"family":"Zuboff","given":"S."}],"issued":{"date-parts":[["2019"]]}}}],"schema":"https://github.com/citation-style-language/schema/raw/master/csl-citation.json"} </w:instrText>
      </w:r>
      <w:r w:rsidRPr="00972C58">
        <w:rPr>
          <w:color w:val="000000"/>
          <w:sz w:val="20"/>
          <w:szCs w:val="20"/>
        </w:rPr>
        <w:fldChar w:fldCharType="separate"/>
      </w:r>
      <w:r w:rsidRPr="00972C58">
        <w:rPr>
          <w:noProof/>
          <w:color w:val="000000"/>
          <w:sz w:val="20"/>
          <w:szCs w:val="20"/>
        </w:rPr>
        <w:t>(Zuboff, 2019)</w:t>
      </w:r>
      <w:r w:rsidRPr="00972C58">
        <w:rPr>
          <w:color w:val="000000"/>
          <w:sz w:val="20"/>
          <w:szCs w:val="20"/>
        </w:rPr>
        <w:fldChar w:fldCharType="end"/>
      </w:r>
      <w:r w:rsidRPr="00972C58">
        <w:rPr>
          <w:color w:val="000000"/>
          <w:sz w:val="20"/>
          <w:szCs w:val="20"/>
        </w:rPr>
        <w:t xml:space="preserve">. </w:t>
      </w:r>
    </w:p>
    <w:p w14:paraId="776190F3" w14:textId="77777777" w:rsidR="00640082" w:rsidRPr="00972C58" w:rsidRDefault="00640082" w:rsidP="00A64956">
      <w:pPr>
        <w:pStyle w:val="NormalWeb"/>
        <w:spacing w:before="0" w:beforeAutospacing="0" w:after="0" w:afterAutospacing="0"/>
        <w:ind w:left="717"/>
        <w:jc w:val="both"/>
        <w:rPr>
          <w:color w:val="000000"/>
          <w:sz w:val="20"/>
          <w:szCs w:val="20"/>
        </w:rPr>
      </w:pPr>
      <w:r w:rsidRPr="00972C58">
        <w:rPr>
          <w:color w:val="000000"/>
          <w:sz w:val="20"/>
          <w:szCs w:val="20"/>
        </w:rPr>
        <w:tab/>
      </w:r>
      <w:r w:rsidRPr="00972C58">
        <w:rPr>
          <w:color w:val="000000"/>
          <w:sz w:val="20"/>
          <w:szCs w:val="20"/>
        </w:rPr>
        <w:tab/>
        <w:t xml:space="preserve">A key concern in human-AI collaboration is the potential erosion of agency -where decision-making becomes overly reliant on AI systems at the cost of human discretion. Communication studies highlight the importance of maintaining human agency by ensuring that educators are not passive recipients of AI outputs but are involved in a dialogue with technology. This collaborative approach means questioning and refining AI’s contributions, thus upholding the integrity of teaching and ensuring that educational process reflects shared values. Critical oversight helps counteract biases embedded within AI systems and promotes a balanced integration that values human experiences as much as computational efficiency. </w:t>
      </w:r>
    </w:p>
    <w:p w14:paraId="037F809B" w14:textId="6A064271" w:rsidR="00640082" w:rsidRPr="00043D40" w:rsidRDefault="00640082" w:rsidP="00043D40">
      <w:pPr>
        <w:pStyle w:val="NormalWeb"/>
        <w:spacing w:before="0" w:beforeAutospacing="0" w:after="0" w:afterAutospacing="0"/>
        <w:ind w:left="717"/>
        <w:jc w:val="both"/>
        <w:rPr>
          <w:color w:val="000000"/>
          <w:sz w:val="20"/>
          <w:szCs w:val="20"/>
        </w:rPr>
      </w:pPr>
      <w:r w:rsidRPr="00972C58">
        <w:rPr>
          <w:color w:val="000000"/>
          <w:sz w:val="20"/>
          <w:szCs w:val="20"/>
        </w:rPr>
        <w:tab/>
      </w:r>
      <w:r w:rsidRPr="00972C58">
        <w:rPr>
          <w:color w:val="000000"/>
          <w:sz w:val="20"/>
          <w:szCs w:val="20"/>
        </w:rPr>
        <w:tab/>
        <w:t xml:space="preserve">While AI offers substantial potential for enriching educational outcomes, the approach to its implementation must be guided by careful consideration of ethical, communicative, and relational factors. Educators must be equipped not just with technological know-how but with the skills to interpret AI-driven insights and communicate them effectively to students, preserving the essential human elements of trust, empathy, and adaptability in teaching. The successful use of AI in education, therefore, hinges on a strategy that maintains human oversight, prioritizes clear and ethical communication, and promotes a balanced partnership where technology enhances but does not replace the fundamental human aspects of education.  </w:t>
      </w:r>
    </w:p>
    <w:p w14:paraId="4D75702E" w14:textId="77777777" w:rsidR="00640082" w:rsidRPr="00043D40" w:rsidRDefault="00640082" w:rsidP="00822617">
      <w:pPr>
        <w:pStyle w:val="ListParagraph"/>
        <w:numPr>
          <w:ilvl w:val="0"/>
          <w:numId w:val="17"/>
        </w:numPr>
        <w:spacing w:after="0" w:line="240" w:lineRule="auto"/>
        <w:jc w:val="left"/>
        <w:rPr>
          <w:rFonts w:ascii="Times New Roman" w:hAnsi="Times New Roman" w:cs="Times New Roman"/>
          <w:b/>
          <w:bCs/>
          <w:sz w:val="24"/>
          <w:szCs w:val="24"/>
          <w:lang w:val="en-US"/>
        </w:rPr>
      </w:pPr>
      <w:r w:rsidRPr="00043D40">
        <w:rPr>
          <w:rFonts w:ascii="Times New Roman" w:hAnsi="Times New Roman" w:cs="Times New Roman"/>
          <w:b/>
          <w:bCs/>
          <w:sz w:val="24"/>
          <w:szCs w:val="24"/>
          <w:lang w:val="en-US"/>
        </w:rPr>
        <w:t>Conclusions</w:t>
      </w:r>
    </w:p>
    <w:p w14:paraId="2D5D858E" w14:textId="77777777" w:rsidR="00640082" w:rsidRPr="00972C58" w:rsidRDefault="00640082" w:rsidP="00E62DAF">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The conclusion of this study underscores that while AI has demonstrated significant advancements in domains such as data analysis, pattern recognition, and the automation of routine tasks, it still falls short of replicating the full spectrum of human intelligence. Specifically, the inherent limitations of AI are most evident in areas requiring human intuition, emotional understanding, and ethical judgement. These findings align with the broader discourse on the boundaries of AI’s capabilities, reinforcing the argument that, despite its growing sophistication, AI is unlikely to fully replicate the nuanced cognitive and affective dimensions of human thought. This suggests that while AI’s potential to enhance educational processes is substantial, its role will remain that of an augmentative tool rather than a replacement of human educators. </w:t>
      </w:r>
    </w:p>
    <w:p w14:paraId="77D96130" w14:textId="77777777" w:rsidR="00640082" w:rsidRPr="00972C58" w:rsidRDefault="00640082" w:rsidP="00E62DAF">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The implications of these findings are multifaceted. For educational institutions, the integration of AI should be pursued with the understanding that AI is best employed to support and amplify human-led instruction, not to supplant it. The reliance on AI can streamline administrative tasks, personalize learning experiences, and assist in the early identification of students’ academic challenges, but it must be strategically balanced with the human elements of teaching -such as empathy, adaptability, and moral guidance- that AI cannot replicate. This balance is crucial to preserve the depth of educational interactions and to ensure that learning environments remain centered around human development and social values. </w:t>
      </w:r>
    </w:p>
    <w:p w14:paraId="69726F03" w14:textId="77777777" w:rsidR="00640082" w:rsidRPr="00972C58" w:rsidRDefault="00640082" w:rsidP="00E62DAF">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Despite its benefits, this study recognizes the limitations that come with the deployment of AI in education. The challenges of privacy concern, potential biases in data-driven recommendations, and the risks of over-reliance on technology pose significant obstacles. Addressing these issues requires a robust framework that includes stringent data protection policies, critical oversight by educators, and comprehensive training programs that equip teachers to effectively integrate AI without compromising their roles as primary facilitators of learning. The contributions of this study lie in its emphasis on maintaining human agency and the ethical implications of human-AI collaboration, presenting a holistic perspective that extends beyond technical considerations to include social and ethical dimensions. </w:t>
      </w:r>
    </w:p>
    <w:p w14:paraId="6619BA9A" w14:textId="77777777" w:rsidR="00640082" w:rsidRPr="00972C58" w:rsidRDefault="00640082" w:rsidP="00E62DAF">
      <w:pPr>
        <w:pStyle w:val="NormalWeb"/>
        <w:spacing w:before="0" w:beforeAutospacing="0" w:after="0" w:afterAutospacing="0"/>
        <w:ind w:left="720" w:firstLine="720"/>
        <w:jc w:val="both"/>
        <w:rPr>
          <w:color w:val="000000"/>
          <w:sz w:val="20"/>
          <w:szCs w:val="20"/>
        </w:rPr>
      </w:pPr>
      <w:r w:rsidRPr="00972C58">
        <w:rPr>
          <w:color w:val="000000"/>
          <w:sz w:val="20"/>
          <w:szCs w:val="20"/>
        </w:rPr>
        <w:t xml:space="preserve">Future research should continue to explore the evolving relationship between AI and human intelligence, particularly focusing on how AI technologies can be designed to complement rather than compete with human capabilities. Investigating methods to enhance the interpretability and transparency of AI systems will be critical in fostering trust and ensuring that educators can use these tools responsibly. Additionally, longitudinal studies that assess the long-term impact of AI on both educational outcomes and cognitive development in students will be valuable in shaping future educational strategies. By maintaining a focus on human-centric approaches and addressing potential pitfalls, subsequent research can contribute to a more balanced and effective integration of Ai in education, safeguarding the values and unique attributes that define human learning. </w:t>
      </w:r>
    </w:p>
    <w:p w14:paraId="04189119" w14:textId="77777777" w:rsidR="00640082" w:rsidRPr="00972C58" w:rsidRDefault="00640082" w:rsidP="00395D5E">
      <w:pPr>
        <w:pStyle w:val="NormalWeb"/>
        <w:spacing w:before="0" w:beforeAutospacing="0" w:after="0" w:afterAutospacing="0"/>
        <w:ind w:left="720" w:firstLine="720"/>
        <w:jc w:val="both"/>
        <w:rPr>
          <w:color w:val="000000"/>
          <w:sz w:val="20"/>
          <w:szCs w:val="20"/>
        </w:rPr>
      </w:pPr>
    </w:p>
    <w:p w14:paraId="3D8315D1" w14:textId="77777777" w:rsidR="00640082" w:rsidRPr="00972C58" w:rsidRDefault="00640082" w:rsidP="00395D5E">
      <w:pPr>
        <w:pStyle w:val="NormalWeb"/>
        <w:spacing w:before="0" w:beforeAutospacing="0" w:after="0" w:afterAutospacing="0"/>
        <w:ind w:left="717"/>
        <w:jc w:val="both"/>
        <w:rPr>
          <w:b/>
          <w:bCs/>
          <w:color w:val="000000"/>
        </w:rPr>
      </w:pPr>
      <w:r w:rsidRPr="00972C58">
        <w:rPr>
          <w:b/>
          <w:bCs/>
          <w:color w:val="000000"/>
        </w:rPr>
        <w:t>Reference</w:t>
      </w:r>
    </w:p>
    <w:p w14:paraId="68E8D36E"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fldChar w:fldCharType="begin"/>
      </w:r>
      <w:r w:rsidRPr="00822617">
        <w:rPr>
          <w:rFonts w:ascii="Times New Roman" w:hAnsi="Times New Roman" w:cs="Times New Roman"/>
          <w:sz w:val="20"/>
          <w:szCs w:val="20"/>
          <w:lang w:val="en-US"/>
        </w:rPr>
        <w:instrText xml:space="preserve"> ADDIN ZOTERO_BIBL {"uncited":[],"omitted":[],"custom":[]} CSL_BIBLIOGRAPHY </w:instrText>
      </w:r>
      <w:r w:rsidRPr="00822617">
        <w:rPr>
          <w:rFonts w:ascii="Times New Roman" w:hAnsi="Times New Roman" w:cs="Times New Roman"/>
          <w:sz w:val="20"/>
          <w:szCs w:val="20"/>
          <w:lang w:val="en-US"/>
        </w:rPr>
        <w:fldChar w:fldCharType="separate"/>
      </w:r>
      <w:r w:rsidRPr="00822617">
        <w:rPr>
          <w:rFonts w:ascii="Times New Roman" w:hAnsi="Times New Roman" w:cs="Times New Roman"/>
          <w:sz w:val="20"/>
          <w:szCs w:val="20"/>
          <w:lang w:val="en-US"/>
        </w:rPr>
        <w:t xml:space="preserve">Abulibdeh, A., Zaidan, E., &amp; Abulibdeh, R. (2024). Navigating the confluence of artificial intelligence and education for sustainable development in the era of industry 4.0: Challenges, opportunities, and ethical dimensions. </w:t>
      </w:r>
      <w:r w:rsidRPr="00822617">
        <w:rPr>
          <w:rFonts w:ascii="Times New Roman" w:hAnsi="Times New Roman" w:cs="Times New Roman"/>
          <w:i/>
          <w:iCs/>
          <w:sz w:val="20"/>
          <w:szCs w:val="20"/>
          <w:lang w:val="en-US"/>
        </w:rPr>
        <w:t>Journal of Cleaner Production</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437</w:t>
      </w:r>
      <w:r w:rsidRPr="00822617">
        <w:rPr>
          <w:rFonts w:ascii="Times New Roman" w:hAnsi="Times New Roman" w:cs="Times New Roman"/>
          <w:sz w:val="20"/>
          <w:szCs w:val="20"/>
          <w:lang w:val="en-US"/>
        </w:rPr>
        <w:t>, 140527. https://doi.org/10.1016/j.jclepro.2023.140527</w:t>
      </w:r>
    </w:p>
    <w:p w14:paraId="4704215D"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Anantrasirichai, N., &amp; Bull, D. (2022). Artificial intelligence in the creative industries: A review. </w:t>
      </w:r>
      <w:r w:rsidRPr="00822617">
        <w:rPr>
          <w:rFonts w:ascii="Times New Roman" w:hAnsi="Times New Roman" w:cs="Times New Roman"/>
          <w:i/>
          <w:iCs/>
          <w:sz w:val="20"/>
          <w:szCs w:val="20"/>
          <w:lang w:val="en-US"/>
        </w:rPr>
        <w:t>Artificial Intelligence Review</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55</w:t>
      </w:r>
      <w:r w:rsidRPr="00822617">
        <w:rPr>
          <w:rFonts w:ascii="Times New Roman" w:hAnsi="Times New Roman" w:cs="Times New Roman"/>
          <w:sz w:val="20"/>
          <w:szCs w:val="20"/>
          <w:lang w:val="en-US"/>
        </w:rPr>
        <w:t>(1), 589–656. https://doi.org/10.1007/s10462-021-10039-7</w:t>
      </w:r>
    </w:p>
    <w:p w14:paraId="0480D70A"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Boden, M. A. (2016). </w:t>
      </w:r>
      <w:r w:rsidRPr="00822617">
        <w:rPr>
          <w:rFonts w:ascii="Times New Roman" w:hAnsi="Times New Roman" w:cs="Times New Roman"/>
          <w:i/>
          <w:iCs/>
          <w:sz w:val="20"/>
          <w:szCs w:val="20"/>
          <w:lang w:val="en-US"/>
        </w:rPr>
        <w:t>AI: Its nature and future.</w:t>
      </w:r>
      <w:r w:rsidRPr="00822617">
        <w:rPr>
          <w:rFonts w:ascii="Times New Roman" w:hAnsi="Times New Roman" w:cs="Times New Roman"/>
          <w:sz w:val="20"/>
          <w:szCs w:val="20"/>
          <w:lang w:val="en-US"/>
        </w:rPr>
        <w:t xml:space="preserve"> Oxford University Press.</w:t>
      </w:r>
    </w:p>
    <w:p w14:paraId="5DC63D79"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Brown, C. C., &amp; Bell, S. S. (2018). </w:t>
      </w:r>
      <w:r w:rsidRPr="00822617">
        <w:rPr>
          <w:rFonts w:ascii="Times New Roman" w:hAnsi="Times New Roman" w:cs="Times New Roman"/>
          <w:i/>
          <w:iCs/>
          <w:sz w:val="20"/>
          <w:szCs w:val="20"/>
          <w:lang w:val="en-US"/>
        </w:rPr>
        <w:t>Librarian’s guide to online searching: Cultivating database skills for research and instruction.</w:t>
      </w:r>
      <w:r w:rsidRPr="00822617">
        <w:rPr>
          <w:rFonts w:ascii="Times New Roman" w:hAnsi="Times New Roman" w:cs="Times New Roman"/>
          <w:sz w:val="20"/>
          <w:szCs w:val="20"/>
          <w:lang w:val="en-US"/>
        </w:rPr>
        <w:t xml:space="preserve"> Bloomsbury Publishing USA.</w:t>
      </w:r>
    </w:p>
    <w:p w14:paraId="1931368F"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Casselman, M. D., Eichler, J. F., &amp; Atit, K. (2021). Advancing multimedia learning for science: Comparing the effect of virtual versus physical models on student learning about stereochemistry. </w:t>
      </w:r>
      <w:r w:rsidRPr="00822617">
        <w:rPr>
          <w:rFonts w:ascii="Times New Roman" w:hAnsi="Times New Roman" w:cs="Times New Roman"/>
          <w:i/>
          <w:iCs/>
          <w:sz w:val="20"/>
          <w:szCs w:val="20"/>
          <w:lang w:val="en-US"/>
        </w:rPr>
        <w:t>Science Education</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105</w:t>
      </w:r>
      <w:r w:rsidRPr="00822617">
        <w:rPr>
          <w:rFonts w:ascii="Times New Roman" w:hAnsi="Times New Roman" w:cs="Times New Roman"/>
          <w:sz w:val="20"/>
          <w:szCs w:val="20"/>
          <w:lang w:val="en-US"/>
        </w:rPr>
        <w:t>(6), 1285–1314.</w:t>
      </w:r>
    </w:p>
    <w:p w14:paraId="1006B922"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Chen, L., Chen, P., &amp; Lin, Z. (2020). Artificial intelligence in education: A review. </w:t>
      </w:r>
      <w:r w:rsidRPr="00822617">
        <w:rPr>
          <w:rFonts w:ascii="Times New Roman" w:hAnsi="Times New Roman" w:cs="Times New Roman"/>
          <w:i/>
          <w:iCs/>
          <w:sz w:val="20"/>
          <w:szCs w:val="20"/>
          <w:lang w:val="en-US"/>
        </w:rPr>
        <w:t>IEEE Explore</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8</w:t>
      </w:r>
      <w:r w:rsidRPr="00822617">
        <w:rPr>
          <w:rFonts w:ascii="Times New Roman" w:hAnsi="Times New Roman" w:cs="Times New Roman"/>
          <w:sz w:val="20"/>
          <w:szCs w:val="20"/>
          <w:lang w:val="en-US"/>
        </w:rPr>
        <w:t>, 75264–75278. https://doi.org/10.1109/ACCESS.2020.2988510.</w:t>
      </w:r>
    </w:p>
    <w:p w14:paraId="6CF91521"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Colton, S., &amp; Wiggins, G. A. (2012). Computational creativity: The final frontier?. In </w:t>
      </w:r>
      <w:r w:rsidRPr="00822617">
        <w:rPr>
          <w:rFonts w:ascii="Times New Roman" w:hAnsi="Times New Roman" w:cs="Times New Roman"/>
          <w:i/>
          <w:iCs/>
          <w:sz w:val="20"/>
          <w:szCs w:val="20"/>
          <w:lang w:val="en-US"/>
        </w:rPr>
        <w:t>ECAI 2012</w:t>
      </w:r>
      <w:r w:rsidRPr="00822617">
        <w:rPr>
          <w:rFonts w:ascii="Times New Roman" w:hAnsi="Times New Roman" w:cs="Times New Roman"/>
          <w:sz w:val="20"/>
          <w:szCs w:val="20"/>
          <w:lang w:val="en-US"/>
        </w:rPr>
        <w:t xml:space="preserve"> (pp. 21–26). IOS Press.</w:t>
      </w:r>
    </w:p>
    <w:p w14:paraId="2AAC93A4"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Erpelding, C., Beck, J., Swerzenski, J. D., &amp; Brecheisen, T. (2024). Forum on Artificial Intelligence. </w:t>
      </w:r>
      <w:r w:rsidRPr="00822617">
        <w:rPr>
          <w:rFonts w:ascii="Times New Roman" w:hAnsi="Times New Roman" w:cs="Times New Roman"/>
          <w:i/>
          <w:iCs/>
          <w:sz w:val="20"/>
          <w:szCs w:val="20"/>
          <w:lang w:val="en-US"/>
        </w:rPr>
        <w:t>Journal of Film and Video</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76</w:t>
      </w:r>
      <w:r w:rsidRPr="00822617">
        <w:rPr>
          <w:rFonts w:ascii="Times New Roman" w:hAnsi="Times New Roman" w:cs="Times New Roman"/>
          <w:sz w:val="20"/>
          <w:szCs w:val="20"/>
          <w:lang w:val="en-US"/>
        </w:rPr>
        <w:t>(1), 44–55.</w:t>
      </w:r>
    </w:p>
    <w:p w14:paraId="39A8CFC6"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Filgueiras, F. (2024). Artificial intelligence and education governance. </w:t>
      </w:r>
      <w:r w:rsidRPr="00822617">
        <w:rPr>
          <w:rFonts w:ascii="Times New Roman" w:hAnsi="Times New Roman" w:cs="Times New Roman"/>
          <w:i/>
          <w:iCs/>
          <w:sz w:val="20"/>
          <w:szCs w:val="20"/>
          <w:lang w:val="en-US"/>
        </w:rPr>
        <w:t>Education, Citizenship and Social Justice</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19</w:t>
      </w:r>
      <w:r w:rsidRPr="00822617">
        <w:rPr>
          <w:rFonts w:ascii="Times New Roman" w:hAnsi="Times New Roman" w:cs="Times New Roman"/>
          <w:sz w:val="20"/>
          <w:szCs w:val="20"/>
          <w:lang w:val="en-US"/>
        </w:rPr>
        <w:t>(3), 349–361. https://doi.org/10.1177/17461979231160674</w:t>
      </w:r>
    </w:p>
    <w:p w14:paraId="1C37A690"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Floridi, L., Cowls, J., Beltrametti, M., Chatila, R., Chazerand, P., Dignum, V., &amp; Vayena, E. (2018). AI4People—An ethical framework for a good AI society: Opportunities, risks, principles, and recommendations. </w:t>
      </w:r>
      <w:r w:rsidRPr="00822617">
        <w:rPr>
          <w:rFonts w:ascii="Times New Roman" w:hAnsi="Times New Roman" w:cs="Times New Roman"/>
          <w:i/>
          <w:iCs/>
          <w:sz w:val="20"/>
          <w:szCs w:val="20"/>
          <w:lang w:val="en-US"/>
        </w:rPr>
        <w:t>Minds and Machines</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28</w:t>
      </w:r>
      <w:r w:rsidRPr="00822617">
        <w:rPr>
          <w:rFonts w:ascii="Times New Roman" w:hAnsi="Times New Roman" w:cs="Times New Roman"/>
          <w:sz w:val="20"/>
          <w:szCs w:val="20"/>
          <w:lang w:val="en-US"/>
        </w:rPr>
        <w:t>, 689–707.</w:t>
      </w:r>
    </w:p>
    <w:p w14:paraId="1DFDAEAB"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George, A. S. (2024). The Evolution of Economic Models: From Knowledge to Intuition and Optimization. </w:t>
      </w:r>
      <w:r w:rsidRPr="00822617">
        <w:rPr>
          <w:rFonts w:ascii="Times New Roman" w:hAnsi="Times New Roman" w:cs="Times New Roman"/>
          <w:i/>
          <w:iCs/>
          <w:sz w:val="20"/>
          <w:szCs w:val="20"/>
          <w:lang w:val="en-US"/>
        </w:rPr>
        <w:t>Partners Universal Multidisciplinary Research Journal</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w:t>
      </w:r>
      <w:r w:rsidRPr="00822617">
        <w:rPr>
          <w:rFonts w:ascii="Times New Roman" w:hAnsi="Times New Roman" w:cs="Times New Roman"/>
          <w:sz w:val="20"/>
          <w:szCs w:val="20"/>
          <w:lang w:val="en-US"/>
        </w:rPr>
        <w:t>(2), 1–25. https://doi.org/10.5281/zenodo.12746525</w:t>
      </w:r>
    </w:p>
    <w:p w14:paraId="28228D1F"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Halkiopoulos, C., &amp; Gkintoni, E. (2024). Leveraging AI in e-learning: Personalized learning and adaptive assessment through cognitive neuropsychology—A systematic analysis. </w:t>
      </w:r>
      <w:r w:rsidRPr="00822617">
        <w:rPr>
          <w:rFonts w:ascii="Times New Roman" w:hAnsi="Times New Roman" w:cs="Times New Roman"/>
          <w:i/>
          <w:iCs/>
          <w:sz w:val="20"/>
          <w:szCs w:val="20"/>
          <w:lang w:val="en-US"/>
        </w:rPr>
        <w:t>Electronics</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13</w:t>
      </w:r>
      <w:r w:rsidRPr="00822617">
        <w:rPr>
          <w:rFonts w:ascii="Times New Roman" w:hAnsi="Times New Roman" w:cs="Times New Roman"/>
          <w:sz w:val="20"/>
          <w:szCs w:val="20"/>
          <w:lang w:val="en-US"/>
        </w:rPr>
        <w:t>(18), 3762. https://doi.org/10.3390/electronics13183762</w:t>
      </w:r>
    </w:p>
    <w:p w14:paraId="508C9E2D"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Hassani, H., Silva, E. S., Unger, S., TajMazinani, M., &amp; Mac Feely, S. (2020). Artificial intelligence (AI) or intelligence augmentation (IA): What is the future? </w:t>
      </w:r>
      <w:r w:rsidRPr="00822617">
        <w:rPr>
          <w:rFonts w:ascii="Times New Roman" w:hAnsi="Times New Roman" w:cs="Times New Roman"/>
          <w:i/>
          <w:iCs/>
          <w:sz w:val="20"/>
          <w:szCs w:val="20"/>
          <w:lang w:val="en-US"/>
        </w:rPr>
        <w:t>AI</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w:t>
      </w:r>
      <w:r w:rsidRPr="00822617">
        <w:rPr>
          <w:rFonts w:ascii="Times New Roman" w:hAnsi="Times New Roman" w:cs="Times New Roman"/>
          <w:sz w:val="20"/>
          <w:szCs w:val="20"/>
          <w:lang w:val="en-US"/>
        </w:rPr>
        <w:t>(2), 143–155. https://doi.org/10.3390/ai1020008</w:t>
      </w:r>
    </w:p>
    <w:p w14:paraId="3D9CFBDD"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Kim, J., Lee, H., &amp; Cho, Y. H. (2022). Learning design to support student-AI collaboration: Perspectives of leading teachers for AI in education. </w:t>
      </w:r>
      <w:r w:rsidRPr="00822617">
        <w:rPr>
          <w:rFonts w:ascii="Times New Roman" w:hAnsi="Times New Roman" w:cs="Times New Roman"/>
          <w:i/>
          <w:iCs/>
          <w:sz w:val="20"/>
          <w:szCs w:val="20"/>
          <w:lang w:val="en-US"/>
        </w:rPr>
        <w:t>Education and Information Technologies</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27</w:t>
      </w:r>
      <w:r w:rsidRPr="00822617">
        <w:rPr>
          <w:rFonts w:ascii="Times New Roman" w:hAnsi="Times New Roman" w:cs="Times New Roman"/>
          <w:sz w:val="20"/>
          <w:szCs w:val="20"/>
          <w:lang w:val="en-US"/>
        </w:rPr>
        <w:t>(5), 6069–6104. https://doi.org/10.1007/s10639-021-10831-6</w:t>
      </w:r>
    </w:p>
    <w:p w14:paraId="4A772D1E"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Luan, H., Geczy, P., Lai, H., Gobert, J., Yang, S. J., Ogata, H., &amp; Tsai, C. C. (2020). Challenges and future directions of big data and artificial intelligence in education. </w:t>
      </w:r>
      <w:r w:rsidRPr="00822617">
        <w:rPr>
          <w:rFonts w:ascii="Times New Roman" w:hAnsi="Times New Roman" w:cs="Times New Roman"/>
          <w:i/>
          <w:iCs/>
          <w:sz w:val="20"/>
          <w:szCs w:val="20"/>
          <w:lang w:val="en-US"/>
        </w:rPr>
        <w:t>Frontiers in Psychology</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11</w:t>
      </w:r>
      <w:r w:rsidRPr="00822617">
        <w:rPr>
          <w:rFonts w:ascii="Times New Roman" w:hAnsi="Times New Roman" w:cs="Times New Roman"/>
          <w:sz w:val="20"/>
          <w:szCs w:val="20"/>
          <w:lang w:val="en-US"/>
        </w:rPr>
        <w:t>, 580820. https://doi.org/10.3389/fpsyg.2020.580820</w:t>
      </w:r>
    </w:p>
    <w:p w14:paraId="590ABDF3"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Markham, A. N., Tiidenberg, K., &amp; Herman, A. (2018). Ethics as Methods: Doing Ethics in the Era of Big Data Research—Introduction. </w:t>
      </w:r>
      <w:r w:rsidRPr="00822617">
        <w:rPr>
          <w:rFonts w:ascii="Times New Roman" w:hAnsi="Times New Roman" w:cs="Times New Roman"/>
          <w:i/>
          <w:iCs/>
          <w:sz w:val="20"/>
          <w:szCs w:val="20"/>
          <w:lang w:val="en-US"/>
        </w:rPr>
        <w:t>Social Media + Society</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4</w:t>
      </w:r>
      <w:r w:rsidRPr="00822617">
        <w:rPr>
          <w:rFonts w:ascii="Times New Roman" w:hAnsi="Times New Roman" w:cs="Times New Roman"/>
          <w:sz w:val="20"/>
          <w:szCs w:val="20"/>
          <w:lang w:val="en-US"/>
        </w:rPr>
        <w:t>(3), 2056305118784502. https://doi.org/10.1177/2056305118784502</w:t>
      </w:r>
    </w:p>
    <w:p w14:paraId="0C25FC41"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Mousavinasab, E., Zarifsanaiey, N. R., Niakan Kalhori, S., Rakhshan, M., Keikha, L., &amp; Ghazi Saeedi, M. (2021). Intelligent tutoring systems: A systematic review of characteristics, applications, and evaluation methods. </w:t>
      </w:r>
      <w:r w:rsidRPr="00822617">
        <w:rPr>
          <w:rFonts w:ascii="Times New Roman" w:hAnsi="Times New Roman" w:cs="Times New Roman"/>
          <w:i/>
          <w:iCs/>
          <w:sz w:val="20"/>
          <w:szCs w:val="20"/>
          <w:lang w:val="en-US"/>
        </w:rPr>
        <w:t>Interactive Learning Environments</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29</w:t>
      </w:r>
      <w:r w:rsidRPr="00822617">
        <w:rPr>
          <w:rFonts w:ascii="Times New Roman" w:hAnsi="Times New Roman" w:cs="Times New Roman"/>
          <w:sz w:val="20"/>
          <w:szCs w:val="20"/>
          <w:lang w:val="en-US"/>
        </w:rPr>
        <w:t>(1), 142–163.</w:t>
      </w:r>
    </w:p>
    <w:p w14:paraId="284B0F73"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Scherer, M. U. (2015). Regulating artificial intelligence systems: Risks, challenges, competencies, and strategies. </w:t>
      </w:r>
      <w:r w:rsidRPr="00822617">
        <w:rPr>
          <w:rFonts w:ascii="Times New Roman" w:hAnsi="Times New Roman" w:cs="Times New Roman"/>
          <w:i/>
          <w:iCs/>
          <w:sz w:val="20"/>
          <w:szCs w:val="20"/>
          <w:lang w:val="en-US"/>
        </w:rPr>
        <w:t>Harvard Journal of Law &amp; Technology</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29</w:t>
      </w:r>
      <w:r w:rsidRPr="00822617">
        <w:rPr>
          <w:rFonts w:ascii="Times New Roman" w:hAnsi="Times New Roman" w:cs="Times New Roman"/>
          <w:sz w:val="20"/>
          <w:szCs w:val="20"/>
          <w:lang w:val="en-US"/>
        </w:rPr>
        <w:t>(2), 353.</w:t>
      </w:r>
    </w:p>
    <w:p w14:paraId="629C6D57"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Singh, A., Saxena, R., &amp; Saxena, S. (2024). The Human Touch in the Age of Artificial Intelligence: A Literature Review on the Interplay of Emotional Intelligence and AI. </w:t>
      </w:r>
      <w:r w:rsidRPr="00822617">
        <w:rPr>
          <w:rFonts w:ascii="Times New Roman" w:hAnsi="Times New Roman" w:cs="Times New Roman"/>
          <w:i/>
          <w:iCs/>
          <w:sz w:val="20"/>
          <w:szCs w:val="20"/>
          <w:lang w:val="en-US"/>
        </w:rPr>
        <w:t>Asian Journal of Current Research</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9</w:t>
      </w:r>
      <w:r w:rsidRPr="00822617">
        <w:rPr>
          <w:rFonts w:ascii="Times New Roman" w:hAnsi="Times New Roman" w:cs="Times New Roman"/>
          <w:sz w:val="20"/>
          <w:szCs w:val="20"/>
          <w:lang w:val="en-US"/>
        </w:rPr>
        <w:t>(4), 36–50. http://dx.doi.org/10.56557/ajocr/2024/v9i48860</w:t>
      </w:r>
    </w:p>
    <w:p w14:paraId="261B9626"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Suriano, R., Plebe, A., Acciai, A., &amp; Fabio, R. A. (2025). Student interaction with ChatGPT can promote complex critical thinking skills. </w:t>
      </w:r>
      <w:r w:rsidRPr="00822617">
        <w:rPr>
          <w:rFonts w:ascii="Times New Roman" w:hAnsi="Times New Roman" w:cs="Times New Roman"/>
          <w:i/>
          <w:iCs/>
          <w:sz w:val="20"/>
          <w:szCs w:val="20"/>
          <w:lang w:val="en-US"/>
        </w:rPr>
        <w:t>Learning and Instruction</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95</w:t>
      </w:r>
      <w:r w:rsidRPr="00822617">
        <w:rPr>
          <w:rFonts w:ascii="Times New Roman" w:hAnsi="Times New Roman" w:cs="Times New Roman"/>
          <w:sz w:val="20"/>
          <w:szCs w:val="20"/>
          <w:lang w:val="en-US"/>
        </w:rPr>
        <w:t>, 102011. https://doi.org/10.1016/j.learninstruc.2024.102011</w:t>
      </w:r>
    </w:p>
    <w:p w14:paraId="0B5BE6BB"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Wooldridge, M. (2021). </w:t>
      </w:r>
      <w:r w:rsidRPr="00822617">
        <w:rPr>
          <w:rFonts w:ascii="Times New Roman" w:hAnsi="Times New Roman" w:cs="Times New Roman"/>
          <w:i/>
          <w:iCs/>
          <w:sz w:val="20"/>
          <w:szCs w:val="20"/>
          <w:lang w:val="en-US"/>
        </w:rPr>
        <w:t>A brief history of artificial intelligence: What it is, where we are, and where we are going.</w:t>
      </w:r>
      <w:r w:rsidRPr="00822617">
        <w:rPr>
          <w:rFonts w:ascii="Times New Roman" w:hAnsi="Times New Roman" w:cs="Times New Roman"/>
          <w:sz w:val="20"/>
          <w:szCs w:val="20"/>
          <w:lang w:val="en-US"/>
        </w:rPr>
        <w:t xml:space="preserve"> Flatiron Books.</w:t>
      </w:r>
    </w:p>
    <w:p w14:paraId="5FAF4CE1"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Zhai, X. S., Chu, X. Y., Chen, M., Shen, J., &amp; Lou, F. L. (2023). Can Edu-Metaverse reshape virtual teaching community (VTC) to promote educational equity? An exploratory study. </w:t>
      </w:r>
      <w:r w:rsidRPr="00822617">
        <w:rPr>
          <w:rFonts w:ascii="Times New Roman" w:hAnsi="Times New Roman" w:cs="Times New Roman"/>
          <w:i/>
          <w:iCs/>
          <w:sz w:val="20"/>
          <w:szCs w:val="20"/>
          <w:lang w:val="en-US"/>
        </w:rPr>
        <w:t>IEEE Transactions on Learning Technologies</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16</w:t>
      </w:r>
      <w:r w:rsidRPr="00822617">
        <w:rPr>
          <w:rFonts w:ascii="Times New Roman" w:hAnsi="Times New Roman" w:cs="Times New Roman"/>
          <w:sz w:val="20"/>
          <w:szCs w:val="20"/>
          <w:lang w:val="en-US"/>
        </w:rPr>
        <w:t>(6), 1130–1140. https://doi.org/10.3390/su15097280</w:t>
      </w:r>
    </w:p>
    <w:p w14:paraId="63252F60" w14:textId="77777777" w:rsidR="00640082" w:rsidRPr="00822617" w:rsidRDefault="00640082" w:rsidP="00822617">
      <w:pPr>
        <w:pStyle w:val="Bibliography"/>
        <w:spacing w:line="240" w:lineRule="auto"/>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t xml:space="preserve">Zuboff, S. (2019). ‘We make them dance’: Surveillance capitalism, the rise of instrumentarian power, and the threat to human rights. </w:t>
      </w:r>
      <w:r w:rsidRPr="004317DF">
        <w:rPr>
          <w:rFonts w:ascii="Times New Roman" w:hAnsi="Times New Roman" w:cs="Times New Roman"/>
          <w:i/>
          <w:iCs/>
          <w:sz w:val="20"/>
          <w:szCs w:val="20"/>
          <w:lang w:val="en-US"/>
        </w:rPr>
        <w:t>In</w:t>
      </w:r>
      <w:r w:rsidRPr="00822617">
        <w:rPr>
          <w:rFonts w:ascii="Times New Roman" w:hAnsi="Times New Roman" w:cs="Times New Roman"/>
          <w:sz w:val="20"/>
          <w:szCs w:val="20"/>
          <w:lang w:val="en-US"/>
        </w:rPr>
        <w:t xml:space="preserve"> </w:t>
      </w:r>
      <w:r w:rsidRPr="00822617">
        <w:rPr>
          <w:rFonts w:ascii="Times New Roman" w:hAnsi="Times New Roman" w:cs="Times New Roman"/>
          <w:i/>
          <w:iCs/>
          <w:sz w:val="20"/>
          <w:szCs w:val="20"/>
          <w:lang w:val="en-US"/>
        </w:rPr>
        <w:t>Human rights in the age of platforms,</w:t>
      </w:r>
      <w:r w:rsidRPr="00822617">
        <w:rPr>
          <w:rFonts w:ascii="Times New Roman" w:hAnsi="Times New Roman" w:cs="Times New Roman"/>
          <w:sz w:val="20"/>
          <w:szCs w:val="20"/>
          <w:lang w:val="en-US"/>
        </w:rPr>
        <w:t xml:space="preserve"> (pp. 3-51.). The MIT Press.</w:t>
      </w:r>
    </w:p>
    <w:p w14:paraId="24975556" w14:textId="77777777" w:rsidR="00640082" w:rsidRDefault="00640082" w:rsidP="00822617">
      <w:pPr>
        <w:pStyle w:val="ListParagraph"/>
        <w:ind w:left="1134" w:hanging="444"/>
        <w:rPr>
          <w:rFonts w:ascii="Times New Roman" w:hAnsi="Times New Roman" w:cs="Times New Roman"/>
          <w:sz w:val="20"/>
          <w:szCs w:val="20"/>
          <w:lang w:val="en-US"/>
        </w:rPr>
      </w:pPr>
      <w:r w:rsidRPr="00822617">
        <w:rPr>
          <w:rFonts w:ascii="Times New Roman" w:hAnsi="Times New Roman" w:cs="Times New Roman"/>
          <w:sz w:val="20"/>
          <w:szCs w:val="20"/>
          <w:lang w:val="en-US"/>
        </w:rPr>
        <w:fldChar w:fldCharType="end"/>
      </w:r>
    </w:p>
    <w:p w14:paraId="717986AF" w14:textId="77777777" w:rsidR="00822617" w:rsidRDefault="00822617" w:rsidP="00822617">
      <w:pPr>
        <w:pStyle w:val="ListParagraph"/>
        <w:ind w:left="1134" w:hanging="444"/>
        <w:rPr>
          <w:rFonts w:ascii="Times New Roman" w:hAnsi="Times New Roman" w:cs="Times New Roman"/>
          <w:sz w:val="20"/>
          <w:szCs w:val="20"/>
          <w:lang w:val="en-US"/>
        </w:rPr>
      </w:pPr>
    </w:p>
    <w:p w14:paraId="1321E719" w14:textId="77777777" w:rsidR="00822617" w:rsidRDefault="00822617" w:rsidP="00822617">
      <w:pPr>
        <w:pStyle w:val="ListParagraph"/>
        <w:ind w:left="1134" w:hanging="444"/>
        <w:rPr>
          <w:rFonts w:ascii="Times New Roman" w:hAnsi="Times New Roman" w:cs="Times New Roman"/>
          <w:sz w:val="20"/>
          <w:szCs w:val="20"/>
          <w:lang w:val="en-US"/>
        </w:rPr>
      </w:pPr>
    </w:p>
    <w:p w14:paraId="480E5EAA" w14:textId="77777777" w:rsidR="00822617" w:rsidRDefault="00822617" w:rsidP="00822617">
      <w:pPr>
        <w:pStyle w:val="ListParagraph"/>
        <w:ind w:left="1134" w:hanging="444"/>
        <w:rPr>
          <w:rFonts w:ascii="Times New Roman" w:hAnsi="Times New Roman" w:cs="Times New Roman"/>
          <w:sz w:val="20"/>
          <w:szCs w:val="20"/>
          <w:lang w:val="en-US"/>
        </w:rPr>
      </w:pPr>
    </w:p>
    <w:p w14:paraId="776EE701" w14:textId="77777777" w:rsidR="00822617" w:rsidRDefault="00822617" w:rsidP="00822617">
      <w:pPr>
        <w:pStyle w:val="ListParagraph"/>
        <w:ind w:left="1134" w:hanging="444"/>
        <w:rPr>
          <w:rFonts w:ascii="Times New Roman" w:hAnsi="Times New Roman" w:cs="Times New Roman"/>
          <w:sz w:val="20"/>
          <w:szCs w:val="20"/>
          <w:lang w:val="en-US"/>
        </w:rPr>
      </w:pPr>
    </w:p>
    <w:p w14:paraId="5FAAB630" w14:textId="77777777" w:rsidR="00822617" w:rsidRPr="00972C58" w:rsidRDefault="00822617" w:rsidP="00822617">
      <w:pPr>
        <w:pStyle w:val="ListParagraph"/>
        <w:ind w:left="1134" w:hanging="444"/>
        <w:rPr>
          <w:sz w:val="18"/>
          <w:szCs w:val="18"/>
          <w:lang w:val="en-US"/>
        </w:rPr>
      </w:pPr>
    </w:p>
    <w:p w14:paraId="242F8B85" w14:textId="77777777" w:rsidR="00064125" w:rsidRDefault="00064125">
      <w:pPr>
        <w:rPr>
          <w:rFonts w:ascii="Times New Roman" w:hAnsi="Times New Roman" w:cs="Times New Roman"/>
          <w:b/>
          <w:bCs/>
          <w:sz w:val="28"/>
          <w:szCs w:val="28"/>
          <w:lang w:val="en-US"/>
        </w:rPr>
      </w:pPr>
      <w:r>
        <w:rPr>
          <w:lang w:val="en-US"/>
        </w:rPr>
        <w:br w:type="page"/>
      </w:r>
    </w:p>
    <w:p w14:paraId="6593F724" w14:textId="61B97E4F" w:rsidR="00640082" w:rsidRDefault="00640082" w:rsidP="008E37C0">
      <w:pPr>
        <w:pStyle w:val="Heading1"/>
        <w:rPr>
          <w:lang w:val="en-US"/>
        </w:rPr>
      </w:pPr>
      <w:bookmarkStart w:id="27" w:name="_Toc197537607"/>
      <w:r>
        <w:rPr>
          <w:lang w:val="en-US"/>
        </w:rPr>
        <w:t>Social Criticism on the Objectification of Women in the NXDE Music Video by (G)I-DLE: A Semiotic Analysis</w:t>
      </w:r>
      <w:bookmarkEnd w:id="27"/>
    </w:p>
    <w:p w14:paraId="787D1DE1" w14:textId="77777777" w:rsidR="00640082" w:rsidRPr="00A161BC" w:rsidRDefault="00640082" w:rsidP="009A4688">
      <w:pPr>
        <w:jc w:val="center"/>
        <w:rPr>
          <w:rFonts w:ascii="Times New Roman" w:hAnsi="Times New Roman" w:cs="Times New Roman"/>
          <w:b/>
          <w:bCs/>
          <w:sz w:val="24"/>
          <w:szCs w:val="24"/>
          <w:lang w:val="en-US"/>
        </w:rPr>
      </w:pPr>
    </w:p>
    <w:p w14:paraId="72F03FF7" w14:textId="77777777" w:rsidR="00640082" w:rsidRPr="006701AC" w:rsidRDefault="00640082" w:rsidP="008E37C0">
      <w:pPr>
        <w:pStyle w:val="Heading2"/>
        <w:rPr>
          <w:lang w:val="en-ID"/>
        </w:rPr>
      </w:pPr>
      <w:bookmarkStart w:id="28" w:name="_Toc197537608"/>
      <w:r w:rsidRPr="006701AC">
        <w:rPr>
          <w:lang w:val="en-ID"/>
        </w:rPr>
        <w:t>Alya Hanifah Irwadi</w:t>
      </w:r>
      <w:r w:rsidRPr="006701AC">
        <w:rPr>
          <w:vertAlign w:val="superscript"/>
          <w:lang w:val="en-ID"/>
        </w:rPr>
        <w:t>1*</w:t>
      </w:r>
      <w:r w:rsidRPr="006701AC">
        <w:rPr>
          <w:lang w:val="en-ID"/>
        </w:rPr>
        <w:t>, Rina Juwita</w:t>
      </w:r>
      <w:r w:rsidRPr="006701AC">
        <w:rPr>
          <w:vertAlign w:val="superscript"/>
          <w:lang w:val="en-ID"/>
        </w:rPr>
        <w:t>2</w:t>
      </w:r>
      <w:bookmarkEnd w:id="28"/>
    </w:p>
    <w:p w14:paraId="05D2D10F" w14:textId="77777777" w:rsidR="00640082" w:rsidRPr="00595533" w:rsidRDefault="00640082" w:rsidP="0035528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Communication Studies Dept., Faculty of Social and Political Science, Universitas </w:t>
      </w:r>
      <w:proofErr w:type="spellStart"/>
      <w:r>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Samarinda</w:t>
      </w:r>
      <w:proofErr w:type="spellEnd"/>
      <w:r>
        <w:rPr>
          <w:rFonts w:ascii="Times New Roman" w:hAnsi="Times New Roman" w:cs="Times New Roman"/>
          <w:sz w:val="24"/>
          <w:szCs w:val="24"/>
          <w:lang w:val="en-US"/>
        </w:rPr>
        <w:t>, Ind</w:t>
      </w:r>
      <w:r>
        <w:rPr>
          <w:rFonts w:ascii="Times New Roman" w:hAnsi="Times New Roman" w:cs="Times New Roman"/>
          <w:b/>
          <w:bCs/>
          <w:sz w:val="24"/>
          <w:szCs w:val="24"/>
          <w:lang w:val="en-US"/>
        </w:rPr>
        <w:t>o</w:t>
      </w:r>
      <w:r w:rsidRPr="00487D5B">
        <w:rPr>
          <w:rFonts w:ascii="Times New Roman" w:hAnsi="Times New Roman" w:cs="Times New Roman"/>
          <w:sz w:val="24"/>
          <w:szCs w:val="24"/>
          <w:lang w:val="en-US"/>
        </w:rPr>
        <w:t>nesia</w:t>
      </w:r>
    </w:p>
    <w:p w14:paraId="03AAD657" w14:textId="77777777" w:rsidR="00640082" w:rsidRDefault="00640082" w:rsidP="0035528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 alyahanifah588@gmail.com</w:t>
      </w:r>
    </w:p>
    <w:p w14:paraId="4BED6953" w14:textId="77777777" w:rsidR="00640082" w:rsidRPr="00595533" w:rsidRDefault="00640082" w:rsidP="00487D5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Communication Studies Dept., Faculty of Social and Political Science, Universitas </w:t>
      </w:r>
      <w:proofErr w:type="spellStart"/>
      <w:r>
        <w:rPr>
          <w:rFonts w:ascii="Times New Roman" w:hAnsi="Times New Roman" w:cs="Times New Roman"/>
          <w:sz w:val="24"/>
          <w:szCs w:val="24"/>
          <w:lang w:val="en-US"/>
        </w:rPr>
        <w:t>Mulawarman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Samarinda</w:t>
      </w:r>
      <w:proofErr w:type="spellEnd"/>
      <w:r>
        <w:rPr>
          <w:rFonts w:ascii="Times New Roman" w:hAnsi="Times New Roman" w:cs="Times New Roman"/>
          <w:sz w:val="24"/>
          <w:szCs w:val="24"/>
          <w:lang w:val="en-US"/>
        </w:rPr>
        <w:t>, Ind</w:t>
      </w:r>
      <w:r>
        <w:rPr>
          <w:rFonts w:ascii="Times New Roman" w:hAnsi="Times New Roman" w:cs="Times New Roman"/>
          <w:b/>
          <w:bCs/>
          <w:sz w:val="24"/>
          <w:szCs w:val="24"/>
          <w:lang w:val="en-US"/>
        </w:rPr>
        <w:t>o</w:t>
      </w:r>
      <w:r w:rsidRPr="00487D5B">
        <w:rPr>
          <w:rFonts w:ascii="Times New Roman" w:hAnsi="Times New Roman" w:cs="Times New Roman"/>
          <w:sz w:val="24"/>
          <w:szCs w:val="24"/>
          <w:lang w:val="en-US"/>
        </w:rPr>
        <w:t>nesia</w:t>
      </w:r>
    </w:p>
    <w:p w14:paraId="6DEE64F3" w14:textId="77777777" w:rsidR="00640082" w:rsidRDefault="00640082" w:rsidP="0035528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 rinajuwita@fisip.unmul.ac.id</w:t>
      </w:r>
    </w:p>
    <w:p w14:paraId="6DA3A946" w14:textId="77777777" w:rsidR="00640082" w:rsidRDefault="00640082" w:rsidP="00726AE4">
      <w:pPr>
        <w:rPr>
          <w:lang w:val="en-US"/>
        </w:rPr>
      </w:pPr>
    </w:p>
    <w:p w14:paraId="3AA1CAF5" w14:textId="77777777" w:rsidR="00640082" w:rsidRPr="00487D5B" w:rsidRDefault="00640082" w:rsidP="009A4688">
      <w:pPr>
        <w:jc w:val="center"/>
        <w:rPr>
          <w:rFonts w:ascii="Times New Roman" w:hAnsi="Times New Roman" w:cs="Times New Roman"/>
          <w:sz w:val="24"/>
          <w:szCs w:val="24"/>
          <w:lang w:val="en-US"/>
        </w:rPr>
      </w:pPr>
      <w:r>
        <w:rPr>
          <w:rFonts w:ascii="Times New Roman" w:hAnsi="Times New Roman" w:cs="Times New Roman"/>
          <w:sz w:val="24"/>
          <w:szCs w:val="24"/>
          <w:lang w:val="en-US"/>
        </w:rPr>
        <w:t>*Corresponding Author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Alya Hanifah Irwadi</w:t>
      </w:r>
    </w:p>
    <w:p w14:paraId="6BF3DB77" w14:textId="77777777" w:rsidR="00640082" w:rsidRDefault="00640082" w:rsidP="009A468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0537427F" w14:textId="77777777" w:rsidR="00640082" w:rsidRDefault="00640082" w:rsidP="00A11187">
      <w:pPr>
        <w:spacing w:line="240" w:lineRule="auto"/>
        <w:rPr>
          <w:rFonts w:ascii="Times New Roman" w:hAnsi="Times New Roman" w:cs="Times New Roman"/>
          <w:sz w:val="18"/>
          <w:szCs w:val="18"/>
        </w:rPr>
      </w:pPr>
      <w:r>
        <w:rPr>
          <w:rFonts w:ascii="Times New Roman" w:hAnsi="Times New Roman" w:cs="Times New Roman"/>
          <w:sz w:val="18"/>
          <w:szCs w:val="18"/>
        </w:rPr>
        <w:t>This study delves into the representation of social criticism on the objectification of women in the NXDE music video by (G) I-DLE. Utilizing Roland Barthes’ semiotic analysis and Andrea Dworkins’ indicators of female objectification, the study uncovers how specific scenes within the music video critique the stereotypical portrayal of women, including references to iconic figures like Marilyn Monroe, the ‘dumb blonde’ stereotype, and goddesses from Greek mythology. By analyzing the visual elements, such as hairstyles, clothing, and symbolic uses of color, the study reveals the underlying commentary on societal objectification</w:t>
      </w:r>
      <w:r w:rsidRPr="00BA173E">
        <w:rPr>
          <w:rFonts w:ascii="Times New Roman" w:hAnsi="Times New Roman" w:cs="Times New Roman"/>
          <w:sz w:val="18"/>
          <w:szCs w:val="18"/>
        </w:rPr>
        <w:t>.</w:t>
      </w:r>
      <w:r>
        <w:rPr>
          <w:rFonts w:ascii="Times New Roman" w:hAnsi="Times New Roman" w:cs="Times New Roman"/>
          <w:sz w:val="18"/>
          <w:szCs w:val="18"/>
        </w:rPr>
        <w:t xml:space="preserve"> This study contributes to the discourse on gender representation in popular culture, highlighting the complex interplay between media, gender roles, and feminist ideologies in South Korea’s K-pop industry. </w:t>
      </w:r>
    </w:p>
    <w:p w14:paraId="33FEA2BB" w14:textId="77777777" w:rsidR="00640082" w:rsidRDefault="00640082" w:rsidP="00A11187">
      <w:pPr>
        <w:spacing w:line="240" w:lineRule="auto"/>
        <w:rPr>
          <w:rFonts w:ascii="Times New Roman" w:hAnsi="Times New Roman" w:cs="Times New Roman"/>
          <w:i/>
          <w:iCs/>
          <w:sz w:val="18"/>
          <w:szCs w:val="18"/>
        </w:rPr>
      </w:pPr>
      <w:r w:rsidRPr="00DD0997">
        <w:rPr>
          <w:rFonts w:ascii="Times New Roman" w:hAnsi="Times New Roman" w:cs="Times New Roman"/>
          <w:b/>
          <w:bCs/>
          <w:i/>
          <w:iCs/>
          <w:sz w:val="18"/>
          <w:szCs w:val="18"/>
        </w:rPr>
        <w:t>Keywords:</w:t>
      </w:r>
      <w:r>
        <w:rPr>
          <w:rFonts w:ascii="Times New Roman" w:hAnsi="Times New Roman" w:cs="Times New Roman"/>
          <w:sz w:val="18"/>
          <w:szCs w:val="18"/>
        </w:rPr>
        <w:t xml:space="preserve"> </w:t>
      </w:r>
      <w:r>
        <w:rPr>
          <w:rFonts w:ascii="Times New Roman" w:hAnsi="Times New Roman" w:cs="Times New Roman"/>
          <w:i/>
          <w:iCs/>
          <w:sz w:val="18"/>
          <w:szCs w:val="18"/>
        </w:rPr>
        <w:t>Social Criticism; Female Objectification; Semiotics; Feminism; K-pop.</w:t>
      </w:r>
    </w:p>
    <w:p w14:paraId="4AB5BA4C" w14:textId="77777777" w:rsidR="00640082" w:rsidRDefault="00640082" w:rsidP="00A11187">
      <w:pPr>
        <w:spacing w:line="240" w:lineRule="auto"/>
        <w:rPr>
          <w:rFonts w:ascii="Times New Roman" w:hAnsi="Times New Roman" w:cs="Times New Roman"/>
          <w:i/>
          <w:iCs/>
          <w:sz w:val="18"/>
          <w:szCs w:val="18"/>
        </w:rPr>
      </w:pPr>
    </w:p>
    <w:p w14:paraId="38B8D1B2" w14:textId="77777777" w:rsidR="00640082" w:rsidRPr="007B43A3" w:rsidRDefault="00640082" w:rsidP="00822617">
      <w:pPr>
        <w:pStyle w:val="ListParagraph"/>
        <w:numPr>
          <w:ilvl w:val="0"/>
          <w:numId w:val="18"/>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lang w:val="en-US"/>
        </w:rPr>
        <w:t xml:space="preserve">Introduction </w:t>
      </w:r>
    </w:p>
    <w:p w14:paraId="25517C92" w14:textId="77777777" w:rsidR="00640082" w:rsidRDefault="00640082" w:rsidP="00C93575">
      <w:pPr>
        <w:pStyle w:val="NormalWeb"/>
        <w:spacing w:before="0" w:beforeAutospacing="0" w:after="0" w:afterAutospacing="0"/>
        <w:ind w:left="720" w:firstLine="720"/>
        <w:jc w:val="both"/>
        <w:rPr>
          <w:color w:val="000000"/>
          <w:sz w:val="20"/>
          <w:szCs w:val="20"/>
        </w:rPr>
      </w:pPr>
      <w:r>
        <w:rPr>
          <w:color w:val="000000"/>
          <w:sz w:val="20"/>
          <w:szCs w:val="20"/>
        </w:rPr>
        <w:t>Feminism is not a new movement; rather, it has a long history, with roots that can be traced back to vocal advocacy in the West as early as the 18</w:t>
      </w:r>
      <w:r>
        <w:rPr>
          <w:color w:val="000000"/>
          <w:sz w:val="20"/>
          <w:szCs w:val="20"/>
          <w:vertAlign w:val="superscript"/>
        </w:rPr>
        <w:t>th</w:t>
      </w:r>
      <w:r>
        <w:rPr>
          <w:color w:val="000000"/>
          <w:sz w:val="20"/>
          <w:szCs w:val="20"/>
        </w:rPr>
        <w:t xml:space="preserve"> century. Western feminism was initially expressed with fervor, eventually spreading its influence on Asian countries. In Asia, however, feminism encountered significant opposition due to the region’s traditional values, which often viewed men as naturally superior to women. This perspective clashed with feminist ideology, which posits that men and women are fundamentally equal, differing only in biological needs, while sharing the same rights and responsibilities </w:t>
      </w:r>
      <w:r>
        <w:rPr>
          <w:color w:val="000000"/>
          <w:sz w:val="20"/>
          <w:szCs w:val="20"/>
        </w:rPr>
        <w:fldChar w:fldCharType="begin"/>
      </w:r>
      <w:r>
        <w:rPr>
          <w:color w:val="000000"/>
          <w:sz w:val="20"/>
          <w:szCs w:val="20"/>
        </w:rPr>
        <w:instrText xml:space="preserve"> ADDIN ZOTERO_ITEM CSL_CITATION {"citationID":"3lRXXZpj","properties":{"formattedCitation":"(Yilmaz\\uc0\\u231{}oban, 2020)","plainCitation":"(Yilmazçoban, 2020)","noteIndex":0},"citationItems":[{"id":837,"uris":["http://zotero.org/users/local/MvyTXXMq/items/8LHYFSDQ"],"itemData":{"id":837,"type":"article-journal","container-title":"International Journal of Disaster Recovery and Business Continuity","issue":"2","page":"189-202","title":"Mindset and culture difference in Eastern And Western societies in gender and feminism.","volume":"11","author":[{"family":"Yilmazçoban","given":"M."}],"issued":{"date-parts":[["2020"]]}}}],"schema":"https://github.com/citation-style-language/schema/raw/master/csl-citation.json"} </w:instrText>
      </w:r>
      <w:r>
        <w:rPr>
          <w:color w:val="000000"/>
          <w:sz w:val="20"/>
          <w:szCs w:val="20"/>
        </w:rPr>
        <w:fldChar w:fldCharType="separate"/>
      </w:r>
      <w:r w:rsidRPr="005B2606">
        <w:rPr>
          <w:color w:val="000000"/>
          <w:sz w:val="20"/>
        </w:rPr>
        <w:t>(Yilmazçoban, 2020)</w:t>
      </w:r>
      <w:r>
        <w:rPr>
          <w:color w:val="000000"/>
          <w:sz w:val="20"/>
          <w:szCs w:val="20"/>
        </w:rPr>
        <w:fldChar w:fldCharType="end"/>
      </w:r>
      <w:r>
        <w:rPr>
          <w:color w:val="000000"/>
          <w:sz w:val="20"/>
          <w:szCs w:val="20"/>
        </w:rPr>
        <w:t xml:space="preserve">. </w:t>
      </w:r>
    </w:p>
    <w:p w14:paraId="4224BDE3" w14:textId="77777777" w:rsidR="00640082" w:rsidRDefault="00640082" w:rsidP="00C93575">
      <w:pPr>
        <w:pStyle w:val="NormalWeb"/>
        <w:spacing w:before="0" w:beforeAutospacing="0" w:after="0" w:afterAutospacing="0"/>
        <w:ind w:left="720" w:firstLine="720"/>
        <w:jc w:val="both"/>
        <w:rPr>
          <w:color w:val="000000"/>
          <w:sz w:val="20"/>
          <w:szCs w:val="20"/>
        </w:rPr>
      </w:pPr>
      <w:r>
        <w:rPr>
          <w:color w:val="000000"/>
          <w:sz w:val="20"/>
          <w:szCs w:val="20"/>
        </w:rPr>
        <w:t xml:space="preserve">The debate over the differing rights and roles of men and women has been particularly intense, with feminist movements advocating for equality facing suppression in several Asian countries. In South Korea, for instance, deep-seated patriarchal norms have hindered progress toward gender equality. These norms are influenced by historical beliefs in the </w:t>
      </w:r>
      <w:proofErr w:type="spellStart"/>
      <w:r>
        <w:rPr>
          <w:color w:val="000000"/>
          <w:sz w:val="20"/>
          <w:szCs w:val="20"/>
        </w:rPr>
        <w:t>Bakatyangban</w:t>
      </w:r>
      <w:proofErr w:type="spellEnd"/>
      <w:r>
        <w:rPr>
          <w:color w:val="000000"/>
          <w:sz w:val="20"/>
          <w:szCs w:val="20"/>
        </w:rPr>
        <w:t xml:space="preserve"> system, which celebrated men as the societal leaders with responsibilities outside the home, while women, referred to as </w:t>
      </w:r>
      <w:proofErr w:type="spellStart"/>
      <w:r>
        <w:rPr>
          <w:color w:val="000000"/>
          <w:sz w:val="20"/>
          <w:szCs w:val="20"/>
        </w:rPr>
        <w:t>Ansaram</w:t>
      </w:r>
      <w:proofErr w:type="spellEnd"/>
      <w:r>
        <w:rPr>
          <w:color w:val="000000"/>
          <w:sz w:val="20"/>
          <w:szCs w:val="20"/>
        </w:rPr>
        <w:t xml:space="preserve">, were expected to remain indoors, engaged solely in domestic tasks </w:t>
      </w:r>
      <w:r>
        <w:rPr>
          <w:color w:val="000000"/>
          <w:sz w:val="20"/>
          <w:szCs w:val="20"/>
        </w:rPr>
        <w:fldChar w:fldCharType="begin"/>
      </w:r>
      <w:r>
        <w:rPr>
          <w:color w:val="000000"/>
          <w:sz w:val="20"/>
          <w:szCs w:val="20"/>
        </w:rPr>
        <w:instrText xml:space="preserve"> ADDIN ZOTERO_ITEM CSL_CITATION {"citationID":"ErSVUCK8","properties":{"formattedCitation":"(Nelson &amp; Haejoang, 2016)","plainCitation":"(Nelson &amp; Haejoang, 2016)","noteIndex":0},"citationItems":[{"id":838,"uris":["http://zotero.org/users/local/MvyTXXMq/items/2ECI6YFR"],"itemData":{"id":838,"type":"chapter","container-title":"Routledge Handbook of Modern Korean History","event-place":"New York, NY.","page":"326-342","publisher":"Routledge","publisher-place":"New York, NY.","title":"Women, gender, and social change in South Korea since 1945","author":[{"family":"Nelson","given":"L. C."},{"family":"Haejoang","given":"C."}],"issued":{"date-parts":[["2016"]]}}}],"schema":"https://github.com/citation-style-language/schema/raw/master/csl-citation.json"} </w:instrText>
      </w:r>
      <w:r>
        <w:rPr>
          <w:color w:val="000000"/>
          <w:sz w:val="20"/>
          <w:szCs w:val="20"/>
        </w:rPr>
        <w:fldChar w:fldCharType="separate"/>
      </w:r>
      <w:r>
        <w:rPr>
          <w:noProof/>
          <w:color w:val="000000"/>
          <w:sz w:val="20"/>
          <w:szCs w:val="20"/>
        </w:rPr>
        <w:t>(Nelson &amp; Haejoang, 2016)</w:t>
      </w:r>
      <w:r>
        <w:rPr>
          <w:color w:val="000000"/>
          <w:sz w:val="20"/>
          <w:szCs w:val="20"/>
        </w:rPr>
        <w:fldChar w:fldCharType="end"/>
      </w:r>
      <w:r>
        <w:rPr>
          <w:color w:val="000000"/>
          <w:sz w:val="20"/>
          <w:szCs w:val="20"/>
        </w:rPr>
        <w:t xml:space="preserve">. </w:t>
      </w:r>
    </w:p>
    <w:p w14:paraId="169586EF" w14:textId="77777777" w:rsidR="00640082" w:rsidRDefault="00640082" w:rsidP="00C93575">
      <w:pPr>
        <w:pStyle w:val="NormalWeb"/>
        <w:spacing w:before="0" w:beforeAutospacing="0" w:after="0" w:afterAutospacing="0"/>
        <w:ind w:left="720" w:firstLine="720"/>
        <w:jc w:val="both"/>
        <w:rPr>
          <w:color w:val="000000"/>
          <w:sz w:val="20"/>
          <w:szCs w:val="20"/>
        </w:rPr>
      </w:pPr>
      <w:r>
        <w:rPr>
          <w:color w:val="000000"/>
          <w:sz w:val="20"/>
          <w:szCs w:val="20"/>
        </w:rPr>
        <w:t>Although recent global reports indicate some improvement in South Korea’s gender equality ranking, rising from 104</w:t>
      </w:r>
      <w:r>
        <w:rPr>
          <w:color w:val="000000"/>
          <w:sz w:val="20"/>
          <w:szCs w:val="20"/>
          <w:vertAlign w:val="superscript"/>
        </w:rPr>
        <w:t>th</w:t>
      </w:r>
      <w:r>
        <w:rPr>
          <w:color w:val="000000"/>
          <w:sz w:val="20"/>
          <w:szCs w:val="20"/>
        </w:rPr>
        <w:t xml:space="preserve"> to 99</w:t>
      </w:r>
      <w:r>
        <w:rPr>
          <w:color w:val="000000"/>
          <w:sz w:val="20"/>
          <w:szCs w:val="20"/>
          <w:vertAlign w:val="superscript"/>
        </w:rPr>
        <w:t>th</w:t>
      </w:r>
      <w:r>
        <w:rPr>
          <w:color w:val="000000"/>
          <w:sz w:val="20"/>
          <w:szCs w:val="20"/>
        </w:rPr>
        <w:t xml:space="preserve"> in the world </w:t>
      </w:r>
      <w:r>
        <w:rPr>
          <w:color w:val="000000"/>
          <w:sz w:val="20"/>
          <w:szCs w:val="20"/>
        </w:rPr>
        <w:fldChar w:fldCharType="begin"/>
      </w:r>
      <w:r>
        <w:rPr>
          <w:color w:val="000000"/>
          <w:sz w:val="20"/>
          <w:szCs w:val="20"/>
        </w:rPr>
        <w:instrText xml:space="preserve"> ADDIN ZOTERO_ITEM CSL_CITATION {"citationID":"U3xlnu4y","properties":{"formattedCitation":"(weforum, 2023)","plainCitation":"(weforum, 2023)","noteIndex":0},"citationItems":[{"id":839,"uris":["http://zotero.org/users/local/MvyTXXMq/items/WUIT6DKN"],"itemData":{"id":839,"type":"report","publisher":"World Economic Forum","title":"Global Gender Gap Report","URL":"https://www.weforum.org/publications/global-gender-gap-report-2023/in-full/benchmarking-gender-gaps-2023/","author":[{"family":"weforum","given":""}],"issued":{"date-parts":[["2023"]]}}}],"schema":"https://github.com/citation-style-language/schema/raw/master/csl-citation.json"} </w:instrText>
      </w:r>
      <w:r>
        <w:rPr>
          <w:color w:val="000000"/>
          <w:sz w:val="20"/>
          <w:szCs w:val="20"/>
        </w:rPr>
        <w:fldChar w:fldCharType="separate"/>
      </w:r>
      <w:r>
        <w:rPr>
          <w:noProof/>
          <w:color w:val="000000"/>
          <w:sz w:val="20"/>
          <w:szCs w:val="20"/>
        </w:rPr>
        <w:t>(weforum, 2023)</w:t>
      </w:r>
      <w:r>
        <w:rPr>
          <w:color w:val="000000"/>
          <w:sz w:val="20"/>
          <w:szCs w:val="20"/>
        </w:rPr>
        <w:fldChar w:fldCharType="end"/>
      </w:r>
      <w:r>
        <w:rPr>
          <w:color w:val="000000"/>
          <w:sz w:val="20"/>
          <w:szCs w:val="20"/>
        </w:rPr>
        <w:t xml:space="preserve">, the societal challenges remain significant. This progress contrasts with persistent issues in South Korean media and internet culture, where websites such as </w:t>
      </w:r>
      <w:proofErr w:type="spellStart"/>
      <w:r>
        <w:rPr>
          <w:color w:val="000000"/>
          <w:sz w:val="20"/>
          <w:szCs w:val="20"/>
        </w:rPr>
        <w:t>Monosphere</w:t>
      </w:r>
      <w:proofErr w:type="spellEnd"/>
      <w:r>
        <w:rPr>
          <w:color w:val="000000"/>
          <w:sz w:val="20"/>
          <w:szCs w:val="20"/>
        </w:rPr>
        <w:t xml:space="preserve"> </w:t>
      </w:r>
      <w:proofErr w:type="spellStart"/>
      <w:r>
        <w:rPr>
          <w:color w:val="000000"/>
          <w:sz w:val="20"/>
          <w:szCs w:val="20"/>
        </w:rPr>
        <w:t>Jeosangso</w:t>
      </w:r>
      <w:proofErr w:type="spellEnd"/>
      <w:r>
        <w:rPr>
          <w:color w:val="000000"/>
          <w:sz w:val="20"/>
          <w:szCs w:val="20"/>
        </w:rPr>
        <w:t xml:space="preserve"> and Ible </w:t>
      </w:r>
      <w:proofErr w:type="spellStart"/>
      <w:r>
        <w:rPr>
          <w:color w:val="000000"/>
          <w:sz w:val="20"/>
          <w:szCs w:val="20"/>
        </w:rPr>
        <w:t>Jeosanso</w:t>
      </w:r>
      <w:proofErr w:type="spellEnd"/>
      <w:r>
        <w:rPr>
          <w:color w:val="000000"/>
          <w:sz w:val="20"/>
          <w:szCs w:val="20"/>
        </w:rPr>
        <w:t xml:space="preserve"> display misogynistic advertisements and sexual harassment toward women. Additionally, communities like Dang </w:t>
      </w:r>
      <w:proofErr w:type="spellStart"/>
      <w:r>
        <w:rPr>
          <w:color w:val="000000"/>
          <w:sz w:val="20"/>
          <w:szCs w:val="20"/>
        </w:rPr>
        <w:t>Dang</w:t>
      </w:r>
      <w:proofErr w:type="spellEnd"/>
      <w:r>
        <w:rPr>
          <w:color w:val="000000"/>
          <w:sz w:val="20"/>
          <w:szCs w:val="20"/>
        </w:rPr>
        <w:t xml:space="preserve"> We, which support patriarchal values, exacerbate the issue by fostering an environment of gender bias, with a significant number of members actively promoting patriarchy and reinforcing discriminatory attitudes </w:t>
      </w:r>
      <w:r>
        <w:rPr>
          <w:color w:val="000000"/>
          <w:sz w:val="20"/>
          <w:szCs w:val="20"/>
        </w:rPr>
        <w:fldChar w:fldCharType="begin"/>
      </w:r>
      <w:r>
        <w:rPr>
          <w:color w:val="000000"/>
          <w:sz w:val="20"/>
          <w:szCs w:val="20"/>
        </w:rPr>
        <w:instrText xml:space="preserve"> ADDIN ZOTERO_ITEM CSL_CITATION {"citationID":"chNtPiYh","properties":{"formattedCitation":"(Moon, 2024)","plainCitation":"(Moon, 2024)","noteIndex":0},"citationItems":[{"id":840,"uris":["http://zotero.org/users/local/MvyTXXMq/items/U9CSNA4N"],"itemData":{"id":840,"type":"article-journal","container-title":"Georgetown Journal of International Affairs","DOI":"https://doi.org/10.1353/gia.2024.a934902","issue":"1","page":"186-192","title":"Digital Sex Crime, Online Misogyny, and Digital Feminism in South Korea.","volume":"25","author":[{"family":"Moon","given":"M."}],"issued":{"date-parts":[["2024"]]}}}],"schema":"https://github.com/citation-style-language/schema/raw/master/csl-citation.json"} </w:instrText>
      </w:r>
      <w:r>
        <w:rPr>
          <w:color w:val="000000"/>
          <w:sz w:val="20"/>
          <w:szCs w:val="20"/>
        </w:rPr>
        <w:fldChar w:fldCharType="separate"/>
      </w:r>
      <w:r>
        <w:rPr>
          <w:noProof/>
          <w:color w:val="000000"/>
          <w:sz w:val="20"/>
          <w:szCs w:val="20"/>
        </w:rPr>
        <w:t>(Moon, 2024)</w:t>
      </w:r>
      <w:r>
        <w:rPr>
          <w:color w:val="000000"/>
          <w:sz w:val="20"/>
          <w:szCs w:val="20"/>
        </w:rPr>
        <w:fldChar w:fldCharType="end"/>
      </w:r>
      <w:r>
        <w:rPr>
          <w:color w:val="000000"/>
          <w:sz w:val="20"/>
          <w:szCs w:val="20"/>
        </w:rPr>
        <w:t xml:space="preserve">. </w:t>
      </w:r>
    </w:p>
    <w:p w14:paraId="01662DA9" w14:textId="77777777" w:rsidR="00640082" w:rsidRDefault="00640082" w:rsidP="00C93575">
      <w:pPr>
        <w:pStyle w:val="NormalWeb"/>
        <w:spacing w:before="0" w:beforeAutospacing="0" w:after="0" w:afterAutospacing="0"/>
        <w:ind w:left="720" w:firstLine="720"/>
        <w:jc w:val="both"/>
        <w:rPr>
          <w:color w:val="000000"/>
          <w:sz w:val="20"/>
          <w:szCs w:val="20"/>
        </w:rPr>
      </w:pPr>
      <w:r>
        <w:rPr>
          <w:color w:val="000000"/>
          <w:sz w:val="20"/>
          <w:szCs w:val="20"/>
        </w:rPr>
        <w:t xml:space="preserve">Despite incremental improvements in international gender equality rankings, South Korea’s deep-rooted societal beliefs continue to pose substantial barriers to feminist ideals. Addressing these issues requires not only structural reforms but also a shift in societal perspectives that have historically marginalized women, confining their roles and limiting their potential. Only by confronting these ingrained biases can true gender equality be achieved, bridging the gap between tradition and modernity in Asia. </w:t>
      </w:r>
    </w:p>
    <w:p w14:paraId="47F24DAA" w14:textId="77777777" w:rsidR="00640082" w:rsidRDefault="00640082" w:rsidP="00C93575">
      <w:pPr>
        <w:pStyle w:val="NormalWeb"/>
        <w:spacing w:before="0" w:beforeAutospacing="0" w:after="0" w:afterAutospacing="0"/>
        <w:ind w:left="720" w:firstLine="720"/>
        <w:jc w:val="both"/>
        <w:rPr>
          <w:color w:val="000000"/>
          <w:sz w:val="20"/>
          <w:szCs w:val="20"/>
        </w:rPr>
      </w:pPr>
      <w:r>
        <w:rPr>
          <w:color w:val="000000"/>
          <w:sz w:val="20"/>
          <w:szCs w:val="20"/>
        </w:rPr>
        <w:t>Furthermore, in response to persistent societal gender biases, many South Korean artists have increasingly used their platforms to promote women’s empowerment and feminist values through their music, lyrics, and music videos. For instance, the popular group ITZY has been vocal in its advocacy for self-love and self-pride, with songs like ‘</w:t>
      </w:r>
      <w:r w:rsidRPr="00E75A1B">
        <w:rPr>
          <w:i/>
          <w:iCs/>
          <w:color w:val="000000"/>
          <w:sz w:val="20"/>
          <w:szCs w:val="20"/>
        </w:rPr>
        <w:t xml:space="preserve">DALLA </w:t>
      </w:r>
      <w:proofErr w:type="spellStart"/>
      <w:r w:rsidRPr="00E75A1B">
        <w:rPr>
          <w:i/>
          <w:iCs/>
          <w:color w:val="000000"/>
          <w:sz w:val="20"/>
          <w:szCs w:val="20"/>
        </w:rPr>
        <w:t>DALLA</w:t>
      </w:r>
      <w:proofErr w:type="spellEnd"/>
      <w:r>
        <w:rPr>
          <w:color w:val="000000"/>
          <w:sz w:val="20"/>
          <w:szCs w:val="20"/>
        </w:rPr>
        <w:t>’ emphasizing self-acceptance and confidence in the face of societal expectations. Similarly, IU’s song ‘</w:t>
      </w:r>
      <w:r>
        <w:rPr>
          <w:i/>
          <w:iCs/>
          <w:color w:val="000000"/>
          <w:sz w:val="20"/>
          <w:szCs w:val="20"/>
        </w:rPr>
        <w:t>Celebrity’</w:t>
      </w:r>
      <w:r>
        <w:rPr>
          <w:color w:val="000000"/>
          <w:sz w:val="20"/>
          <w:szCs w:val="20"/>
        </w:rPr>
        <w:t xml:space="preserve"> critiques stereotypes and objectification, highlighting how societal pressures for validation and approval can erode one’s self-worth and individual identity </w:t>
      </w:r>
      <w:r>
        <w:rPr>
          <w:color w:val="000000"/>
          <w:sz w:val="20"/>
          <w:szCs w:val="20"/>
        </w:rPr>
        <w:fldChar w:fldCharType="begin"/>
      </w:r>
      <w:r>
        <w:rPr>
          <w:color w:val="000000"/>
          <w:sz w:val="20"/>
          <w:szCs w:val="20"/>
        </w:rPr>
        <w:instrText xml:space="preserve"> ADDIN ZOTERO_ITEM CSL_CITATION {"citationID":"EmEyRJ7v","properties":{"formattedCitation":"(Oh et al., 2023)","plainCitation":"(Oh et al., 2023)","noteIndex":0},"citationItems":[{"id":841,"uris":["http://zotero.org/users/local/MvyTXXMq/items/J8Q2VQWV"],"itemData":{"id":841,"type":"article-journal","container-title":"Sustainability","DOI":"https://doi.org/10.3390/su15043098","issue":"4","page":"3098","title":"Female empowerment and radical empathy for the sustainability of creative industries: The case of K-Pop.","volume":"15","author":[{"family":"Oh","given":"I."},{"family":"Kim","given":"K. J."},{"family":"Rowley","given":"C."}],"issued":{"date-parts":[["2023"]]}}}],"schema":"https://github.com/citation-style-language/schema/raw/master/csl-citation.json"} </w:instrText>
      </w:r>
      <w:r>
        <w:rPr>
          <w:color w:val="000000"/>
          <w:sz w:val="20"/>
          <w:szCs w:val="20"/>
        </w:rPr>
        <w:fldChar w:fldCharType="separate"/>
      </w:r>
      <w:r>
        <w:rPr>
          <w:noProof/>
          <w:color w:val="000000"/>
          <w:sz w:val="20"/>
          <w:szCs w:val="20"/>
        </w:rPr>
        <w:t>(Oh et al., 2023)</w:t>
      </w:r>
      <w:r>
        <w:rPr>
          <w:color w:val="000000"/>
          <w:sz w:val="20"/>
          <w:szCs w:val="20"/>
        </w:rPr>
        <w:fldChar w:fldCharType="end"/>
      </w:r>
      <w:r>
        <w:rPr>
          <w:color w:val="000000"/>
          <w:sz w:val="20"/>
          <w:szCs w:val="20"/>
        </w:rPr>
        <w:t xml:space="preserve">. </w:t>
      </w:r>
    </w:p>
    <w:p w14:paraId="359A3F1D" w14:textId="77777777" w:rsidR="00640082" w:rsidRDefault="00640082" w:rsidP="00C93575">
      <w:pPr>
        <w:pStyle w:val="NormalWeb"/>
        <w:spacing w:before="0" w:beforeAutospacing="0" w:after="0" w:afterAutospacing="0"/>
        <w:ind w:left="720" w:firstLine="720"/>
        <w:jc w:val="both"/>
        <w:rPr>
          <w:iCs/>
          <w:color w:val="000000"/>
          <w:sz w:val="20"/>
          <w:szCs w:val="20"/>
        </w:rPr>
      </w:pPr>
      <w:r>
        <w:rPr>
          <w:color w:val="000000"/>
          <w:sz w:val="20"/>
          <w:szCs w:val="20"/>
        </w:rPr>
        <w:t>The group (G)I-DLE, now at the forefront of promoting feminist ideas, has woven themes of empowerment throughout its discography. From their early tracks like ‘</w:t>
      </w:r>
      <w:r>
        <w:rPr>
          <w:i/>
          <w:iCs/>
          <w:color w:val="000000"/>
          <w:sz w:val="20"/>
          <w:szCs w:val="20"/>
        </w:rPr>
        <w:t>D.C.L.M’</w:t>
      </w:r>
      <w:r>
        <w:rPr>
          <w:color w:val="000000"/>
          <w:sz w:val="20"/>
          <w:szCs w:val="20"/>
        </w:rPr>
        <w:t xml:space="preserve"> to recent singles like ‘</w:t>
      </w:r>
      <w:r>
        <w:rPr>
          <w:i/>
          <w:color w:val="000000"/>
          <w:sz w:val="20"/>
          <w:szCs w:val="20"/>
        </w:rPr>
        <w:t xml:space="preserve">NXDE’, </w:t>
      </w:r>
      <w:r>
        <w:rPr>
          <w:iCs/>
          <w:color w:val="000000"/>
          <w:sz w:val="20"/>
          <w:szCs w:val="20"/>
        </w:rPr>
        <w:t>(G)I-DLE addresses the discomfort women often face due to stereotypes and objectification. Their music not only critiques the pressures of appearance but also emphasizes the struggles women endure in public spaces due to societal scrutiny. In ‘</w:t>
      </w:r>
      <w:r>
        <w:rPr>
          <w:i/>
          <w:color w:val="000000"/>
          <w:sz w:val="20"/>
          <w:szCs w:val="20"/>
        </w:rPr>
        <w:t>NXDE’</w:t>
      </w:r>
      <w:r>
        <w:rPr>
          <w:iCs/>
          <w:color w:val="000000"/>
          <w:sz w:val="20"/>
          <w:szCs w:val="20"/>
        </w:rPr>
        <w:t xml:space="preserve">, they confront these issues head-on, boldly critiquing the objectification of women through a powerful blend of lyrics, visuals, and symbolism </w:t>
      </w:r>
      <w:r>
        <w:rPr>
          <w:iCs/>
          <w:color w:val="000000"/>
          <w:sz w:val="20"/>
          <w:szCs w:val="20"/>
        </w:rPr>
        <w:fldChar w:fldCharType="begin"/>
      </w:r>
      <w:r>
        <w:rPr>
          <w:iCs/>
          <w:color w:val="000000"/>
          <w:sz w:val="20"/>
          <w:szCs w:val="20"/>
        </w:rPr>
        <w:instrText xml:space="preserve"> ADDIN ZOTERO_ITEM CSL_CITATION {"citationID":"3EbnL6OL","properties":{"formattedCitation":"(Chang, 2020)","plainCitation":"(Chang, 2020)","noteIndex":0},"citationItems":[{"id":842,"uris":["http://zotero.org/users/local/MvyTXXMq/items/LPTEJN5M"],"itemData":{"id":842,"type":"article-journal","container-title":"Asian Women","DOI":"https://doi.org/10.14431/aw.2020.12.36.4.67","issue":"4","page":"67-84","title":"New Gender Perspectives: Soft Creator and Strong Advocator in the New Korean Wave Era.","volume":"36","author":[{"family":"Chang","given":"J."}],"issued":{"date-parts":[["2020"]]}}}],"schema":"https://github.com/citation-style-language/schema/raw/master/csl-citation.json"} </w:instrText>
      </w:r>
      <w:r>
        <w:rPr>
          <w:iCs/>
          <w:color w:val="000000"/>
          <w:sz w:val="20"/>
          <w:szCs w:val="20"/>
        </w:rPr>
        <w:fldChar w:fldCharType="separate"/>
      </w:r>
      <w:r>
        <w:rPr>
          <w:iCs/>
          <w:noProof/>
          <w:color w:val="000000"/>
          <w:sz w:val="20"/>
          <w:szCs w:val="20"/>
        </w:rPr>
        <w:t>(Chang, 2020)</w:t>
      </w:r>
      <w:r>
        <w:rPr>
          <w:iCs/>
          <w:color w:val="000000"/>
          <w:sz w:val="20"/>
          <w:szCs w:val="20"/>
        </w:rPr>
        <w:fldChar w:fldCharType="end"/>
      </w:r>
      <w:r>
        <w:rPr>
          <w:iCs/>
          <w:color w:val="000000"/>
          <w:sz w:val="20"/>
          <w:szCs w:val="20"/>
        </w:rPr>
        <w:t xml:space="preserve">.  Even though they aren’t the first </w:t>
      </w:r>
      <w:proofErr w:type="spellStart"/>
      <w:r>
        <w:rPr>
          <w:iCs/>
          <w:color w:val="000000"/>
          <w:sz w:val="20"/>
          <w:szCs w:val="20"/>
        </w:rPr>
        <w:t>girlgroup</w:t>
      </w:r>
      <w:proofErr w:type="spellEnd"/>
      <w:r>
        <w:rPr>
          <w:iCs/>
          <w:color w:val="000000"/>
          <w:sz w:val="20"/>
          <w:szCs w:val="20"/>
        </w:rPr>
        <w:t xml:space="preserve"> from </w:t>
      </w:r>
      <w:proofErr w:type="spellStart"/>
      <w:r>
        <w:rPr>
          <w:iCs/>
          <w:color w:val="000000"/>
          <w:sz w:val="20"/>
          <w:szCs w:val="20"/>
        </w:rPr>
        <w:t>sounth</w:t>
      </w:r>
      <w:proofErr w:type="spellEnd"/>
      <w:r>
        <w:rPr>
          <w:iCs/>
          <w:color w:val="000000"/>
          <w:sz w:val="20"/>
          <w:szCs w:val="20"/>
        </w:rPr>
        <w:t xml:space="preserve"> </w:t>
      </w:r>
      <w:proofErr w:type="spellStart"/>
      <w:r>
        <w:rPr>
          <w:iCs/>
          <w:color w:val="000000"/>
          <w:sz w:val="20"/>
          <w:szCs w:val="20"/>
        </w:rPr>
        <w:t>korea</w:t>
      </w:r>
      <w:proofErr w:type="spellEnd"/>
      <w:r>
        <w:rPr>
          <w:iCs/>
          <w:color w:val="000000"/>
          <w:sz w:val="20"/>
          <w:szCs w:val="20"/>
        </w:rPr>
        <w:t xml:space="preserve"> to promote the feminism, Gender equality and </w:t>
      </w:r>
      <w:proofErr w:type="spellStart"/>
      <w:r>
        <w:rPr>
          <w:iCs/>
          <w:color w:val="000000"/>
          <w:sz w:val="20"/>
          <w:szCs w:val="20"/>
        </w:rPr>
        <w:t>womwn</w:t>
      </w:r>
      <w:proofErr w:type="spellEnd"/>
      <w:r>
        <w:rPr>
          <w:iCs/>
          <w:color w:val="000000"/>
          <w:sz w:val="20"/>
          <w:szCs w:val="20"/>
        </w:rPr>
        <w:t xml:space="preserve"> </w:t>
      </w:r>
      <w:proofErr w:type="spellStart"/>
      <w:r>
        <w:rPr>
          <w:iCs/>
          <w:color w:val="000000"/>
          <w:sz w:val="20"/>
          <w:szCs w:val="20"/>
        </w:rPr>
        <w:t>emperwoment</w:t>
      </w:r>
      <w:proofErr w:type="spellEnd"/>
      <w:r>
        <w:rPr>
          <w:iCs/>
          <w:color w:val="000000"/>
          <w:sz w:val="20"/>
          <w:szCs w:val="20"/>
        </w:rPr>
        <w:t xml:space="preserve">. Before them, there is solo female artist Hyuna who promote the feminism to </w:t>
      </w:r>
      <w:proofErr w:type="spellStart"/>
      <w:r>
        <w:rPr>
          <w:iCs/>
          <w:color w:val="000000"/>
          <w:sz w:val="20"/>
          <w:szCs w:val="20"/>
        </w:rPr>
        <w:t>kpop</w:t>
      </w:r>
      <w:proofErr w:type="spellEnd"/>
      <w:r>
        <w:rPr>
          <w:iCs/>
          <w:color w:val="000000"/>
          <w:sz w:val="20"/>
          <w:szCs w:val="20"/>
        </w:rPr>
        <w:t xml:space="preserve"> this give </w:t>
      </w:r>
      <w:proofErr w:type="spellStart"/>
      <w:r>
        <w:rPr>
          <w:iCs/>
          <w:color w:val="000000"/>
          <w:sz w:val="20"/>
          <w:szCs w:val="20"/>
        </w:rPr>
        <w:t>couragement</w:t>
      </w:r>
      <w:proofErr w:type="spellEnd"/>
      <w:r>
        <w:rPr>
          <w:iCs/>
          <w:color w:val="000000"/>
          <w:sz w:val="20"/>
          <w:szCs w:val="20"/>
        </w:rPr>
        <w:t xml:space="preserve"> to other </w:t>
      </w:r>
      <w:proofErr w:type="spellStart"/>
      <w:r>
        <w:rPr>
          <w:iCs/>
          <w:color w:val="000000"/>
          <w:sz w:val="20"/>
          <w:szCs w:val="20"/>
        </w:rPr>
        <w:t>kpop</w:t>
      </w:r>
      <w:proofErr w:type="spellEnd"/>
      <w:r>
        <w:rPr>
          <w:iCs/>
          <w:color w:val="000000"/>
          <w:sz w:val="20"/>
          <w:szCs w:val="20"/>
        </w:rPr>
        <w:t xml:space="preserve"> other </w:t>
      </w:r>
      <w:proofErr w:type="spellStart"/>
      <w:r>
        <w:rPr>
          <w:iCs/>
          <w:color w:val="000000"/>
          <w:sz w:val="20"/>
          <w:szCs w:val="20"/>
        </w:rPr>
        <w:t>kpop</w:t>
      </w:r>
      <w:proofErr w:type="spellEnd"/>
      <w:r>
        <w:rPr>
          <w:iCs/>
          <w:color w:val="000000"/>
          <w:sz w:val="20"/>
          <w:szCs w:val="20"/>
        </w:rPr>
        <w:t xml:space="preserve"> group include </w:t>
      </w:r>
      <w:proofErr w:type="gramStart"/>
      <w:r>
        <w:rPr>
          <w:iCs/>
          <w:color w:val="000000"/>
          <w:sz w:val="20"/>
          <w:szCs w:val="20"/>
        </w:rPr>
        <w:t>( G</w:t>
      </w:r>
      <w:proofErr w:type="gramEnd"/>
      <w:r>
        <w:rPr>
          <w:iCs/>
          <w:color w:val="000000"/>
          <w:sz w:val="20"/>
          <w:szCs w:val="20"/>
        </w:rPr>
        <w:t xml:space="preserve"> ) I - DLE</w:t>
      </w:r>
    </w:p>
    <w:p w14:paraId="7973FDFE" w14:textId="77777777" w:rsidR="00640082" w:rsidRDefault="00640082" w:rsidP="00E75A1B">
      <w:pPr>
        <w:pStyle w:val="NormalWeb"/>
        <w:spacing w:before="0" w:beforeAutospacing="0" w:after="0" w:afterAutospacing="0"/>
        <w:ind w:left="720" w:firstLine="720"/>
        <w:jc w:val="both"/>
        <w:rPr>
          <w:iCs/>
          <w:color w:val="000000"/>
          <w:sz w:val="20"/>
          <w:szCs w:val="20"/>
        </w:rPr>
      </w:pPr>
      <w:r>
        <w:rPr>
          <w:iCs/>
          <w:color w:val="000000"/>
          <w:sz w:val="20"/>
          <w:szCs w:val="20"/>
        </w:rPr>
        <w:t>Other impactful songs by (G)I-DLE include ‘</w:t>
      </w:r>
      <w:r>
        <w:rPr>
          <w:i/>
          <w:color w:val="000000"/>
          <w:sz w:val="20"/>
          <w:szCs w:val="20"/>
        </w:rPr>
        <w:t>Allergy’</w:t>
      </w:r>
      <w:r>
        <w:rPr>
          <w:iCs/>
          <w:color w:val="000000"/>
          <w:sz w:val="20"/>
          <w:szCs w:val="20"/>
        </w:rPr>
        <w:t>, which satirically addresses the internalized objectification and stereotypes that push individuals to compare themselves to others, ultimately eroding their self-identity. Tracks like ‘</w:t>
      </w:r>
      <w:r>
        <w:rPr>
          <w:i/>
          <w:color w:val="000000"/>
          <w:sz w:val="20"/>
          <w:szCs w:val="20"/>
        </w:rPr>
        <w:t>Wife’</w:t>
      </w:r>
      <w:r>
        <w:rPr>
          <w:iCs/>
          <w:color w:val="000000"/>
          <w:sz w:val="20"/>
          <w:szCs w:val="20"/>
        </w:rPr>
        <w:t xml:space="preserve"> provide commentary on the unequal distribution of domestic responsibilities, shedding light on the often-overlooked challenges women face within traditional family roles. These songs not only resonate with fans but also spark important conversations on feminist topics, encouraging listeners to reflect on gender equality and social justice. Through their music, South Korean artists contribute significantly to the discourse on gender equality, reflecting and amplifying the feminist movement in Asia. Their impact extends beyond entertainment, positioning them as influential voices in challenging entrenched stereotypes and promoting a culture of respect and equality.</w:t>
      </w:r>
    </w:p>
    <w:p w14:paraId="71E3FDE5" w14:textId="77777777" w:rsidR="00640082" w:rsidRDefault="00640082" w:rsidP="00E75A1B">
      <w:pPr>
        <w:pStyle w:val="NormalWeb"/>
        <w:spacing w:before="0" w:beforeAutospacing="0" w:after="0" w:afterAutospacing="0"/>
        <w:ind w:left="720" w:firstLine="720"/>
        <w:jc w:val="both"/>
        <w:rPr>
          <w:iCs/>
          <w:color w:val="000000"/>
          <w:sz w:val="20"/>
          <w:szCs w:val="20"/>
        </w:rPr>
      </w:pPr>
      <w:r>
        <w:rPr>
          <w:iCs/>
          <w:color w:val="000000"/>
          <w:sz w:val="20"/>
          <w:szCs w:val="20"/>
        </w:rPr>
        <w:t>‘</w:t>
      </w:r>
      <w:r>
        <w:rPr>
          <w:i/>
          <w:color w:val="000000"/>
          <w:sz w:val="20"/>
          <w:szCs w:val="20"/>
        </w:rPr>
        <w:t>NXDE’</w:t>
      </w:r>
      <w:r>
        <w:rPr>
          <w:iCs/>
          <w:color w:val="000000"/>
          <w:sz w:val="20"/>
          <w:szCs w:val="20"/>
        </w:rPr>
        <w:t xml:space="preserve"> serves as the lead single from (G)I-DLE’s album </w:t>
      </w:r>
      <w:r>
        <w:rPr>
          <w:i/>
          <w:color w:val="000000"/>
          <w:sz w:val="20"/>
          <w:szCs w:val="20"/>
        </w:rPr>
        <w:t xml:space="preserve">I LOVE, </w:t>
      </w:r>
      <w:r>
        <w:rPr>
          <w:iCs/>
          <w:color w:val="000000"/>
          <w:sz w:val="20"/>
          <w:szCs w:val="20"/>
        </w:rPr>
        <w:t xml:space="preserve">released in 2022, a track that sparked both controversy and acclaim for its unapologetic embrace of women’s empowerment. Within just three days of its music video release, the video amassed 17 million views, reflecting a strong public reaction to the group’s bold thematic choices. In episode 445 of the show, </w:t>
      </w:r>
      <w:r>
        <w:rPr>
          <w:i/>
          <w:color w:val="000000"/>
          <w:sz w:val="20"/>
          <w:szCs w:val="20"/>
        </w:rPr>
        <w:t>I Live Alone</w:t>
      </w:r>
      <w:r>
        <w:rPr>
          <w:iCs/>
          <w:color w:val="000000"/>
          <w:sz w:val="20"/>
          <w:szCs w:val="20"/>
        </w:rPr>
        <w:t xml:space="preserve">, member </w:t>
      </w:r>
      <w:proofErr w:type="spellStart"/>
      <w:r>
        <w:rPr>
          <w:iCs/>
          <w:color w:val="000000"/>
          <w:sz w:val="20"/>
          <w:szCs w:val="20"/>
        </w:rPr>
        <w:t>Soyeon</w:t>
      </w:r>
      <w:proofErr w:type="spellEnd"/>
      <w:r>
        <w:rPr>
          <w:iCs/>
          <w:color w:val="000000"/>
          <w:sz w:val="20"/>
          <w:szCs w:val="20"/>
        </w:rPr>
        <w:t xml:space="preserve"> provided insight into her creative process, showcasing her daily life as she crafted the concept for ‘</w:t>
      </w:r>
      <w:r>
        <w:rPr>
          <w:i/>
          <w:color w:val="000000"/>
          <w:sz w:val="20"/>
          <w:szCs w:val="20"/>
        </w:rPr>
        <w:t>NXDE’</w:t>
      </w:r>
      <w:r>
        <w:rPr>
          <w:iCs/>
          <w:color w:val="000000"/>
          <w:sz w:val="20"/>
          <w:szCs w:val="20"/>
        </w:rPr>
        <w:t xml:space="preserve"> (recorded while the song was still in its planning stages). </w:t>
      </w:r>
      <w:proofErr w:type="spellStart"/>
      <w:r>
        <w:rPr>
          <w:iCs/>
          <w:color w:val="000000"/>
          <w:sz w:val="20"/>
          <w:szCs w:val="20"/>
        </w:rPr>
        <w:t>Soyeon</w:t>
      </w:r>
      <w:proofErr w:type="spellEnd"/>
      <w:r>
        <w:rPr>
          <w:iCs/>
          <w:color w:val="000000"/>
          <w:sz w:val="20"/>
          <w:szCs w:val="20"/>
        </w:rPr>
        <w:t xml:space="preserve">  emphasized that the track would blend retro Western aesthetics with modern music elements, drawing inspiration from iconic figure  Marilyn Monroe as a central theme in the video </w:t>
      </w:r>
      <w:r>
        <w:rPr>
          <w:iCs/>
          <w:color w:val="000000"/>
          <w:sz w:val="20"/>
          <w:szCs w:val="20"/>
        </w:rPr>
        <w:fldChar w:fldCharType="begin"/>
      </w:r>
      <w:r>
        <w:rPr>
          <w:iCs/>
          <w:color w:val="000000"/>
          <w:sz w:val="20"/>
          <w:szCs w:val="20"/>
        </w:rPr>
        <w:instrText xml:space="preserve"> ADDIN ZOTERO_ITEM CSL_CITATION {"citationID":"8rntNz7y","properties":{"formattedCitation":"(Qiu, 2024)","plainCitation":"(Qiu, 2024)","noteIndex":0},"citationItems":[{"id":843,"uris":["http://zotero.org/users/local/MvyTXXMq/items/MR8YRQN5"],"itemData":{"id":843,"type":"article-journal","container-title":"Media and Communication Research","DOI":"https://doi.org/10.23977/mediacr.2024.050118","issue":"1","page":"111-114","title":"Feminist Endeavors in the Visibility Economy: A Case Study of the Idol Industry—(G) I-DLE's.","volume":"5","author":[{"family":"Qiu","given":"Z."}],"issued":{"date-parts":[["2024"]]}}}],"schema":"https://github.com/citation-style-language/schema/raw/master/csl-citation.json"} </w:instrText>
      </w:r>
      <w:r>
        <w:rPr>
          <w:iCs/>
          <w:color w:val="000000"/>
          <w:sz w:val="20"/>
          <w:szCs w:val="20"/>
        </w:rPr>
        <w:fldChar w:fldCharType="separate"/>
      </w:r>
      <w:r>
        <w:rPr>
          <w:iCs/>
          <w:noProof/>
          <w:color w:val="000000"/>
          <w:sz w:val="20"/>
          <w:szCs w:val="20"/>
        </w:rPr>
        <w:t>(Qiu, 2024)</w:t>
      </w:r>
      <w:r>
        <w:rPr>
          <w:iCs/>
          <w:color w:val="000000"/>
          <w:sz w:val="20"/>
          <w:szCs w:val="20"/>
        </w:rPr>
        <w:fldChar w:fldCharType="end"/>
      </w:r>
      <w:r>
        <w:rPr>
          <w:iCs/>
          <w:color w:val="000000"/>
          <w:sz w:val="20"/>
          <w:szCs w:val="20"/>
        </w:rPr>
        <w:t xml:space="preserve">. </w:t>
      </w:r>
    </w:p>
    <w:p w14:paraId="52902783" w14:textId="77777777" w:rsidR="00640082" w:rsidRPr="00E75A1B" w:rsidRDefault="00640082" w:rsidP="00D312F3">
      <w:pPr>
        <w:pStyle w:val="NormalWeb"/>
        <w:spacing w:before="0" w:beforeAutospacing="0" w:after="0" w:afterAutospacing="0"/>
        <w:ind w:left="720" w:firstLine="720"/>
        <w:jc w:val="both"/>
        <w:rPr>
          <w:iCs/>
          <w:color w:val="000000"/>
          <w:sz w:val="20"/>
          <w:szCs w:val="20"/>
        </w:rPr>
      </w:pPr>
      <w:r>
        <w:rPr>
          <w:iCs/>
          <w:color w:val="000000"/>
          <w:sz w:val="20"/>
          <w:szCs w:val="20"/>
        </w:rPr>
        <w:t>Monroe, often remembered as a quintessential ‘</w:t>
      </w:r>
      <w:r>
        <w:rPr>
          <w:i/>
          <w:color w:val="000000"/>
          <w:sz w:val="20"/>
          <w:szCs w:val="20"/>
        </w:rPr>
        <w:t>sex symbol’</w:t>
      </w:r>
      <w:r>
        <w:rPr>
          <w:iCs/>
          <w:color w:val="000000"/>
          <w:sz w:val="20"/>
          <w:szCs w:val="20"/>
        </w:rPr>
        <w:t xml:space="preserve"> who conformed to American beauty standards, is presented in ‘</w:t>
      </w:r>
      <w:r>
        <w:rPr>
          <w:i/>
          <w:color w:val="000000"/>
          <w:sz w:val="20"/>
          <w:szCs w:val="20"/>
        </w:rPr>
        <w:t>NXDE’</w:t>
      </w:r>
      <w:r>
        <w:rPr>
          <w:iCs/>
          <w:color w:val="000000"/>
          <w:sz w:val="20"/>
          <w:szCs w:val="20"/>
        </w:rPr>
        <w:t xml:space="preserve"> as a powerful yet complex symbol. The video critiques the ‘</w:t>
      </w:r>
      <w:proofErr w:type="spellStart"/>
      <w:r>
        <w:rPr>
          <w:i/>
          <w:color w:val="000000"/>
          <w:sz w:val="20"/>
          <w:szCs w:val="20"/>
        </w:rPr>
        <w:t>dumb’blonde</w:t>
      </w:r>
      <w:proofErr w:type="spellEnd"/>
      <w:r>
        <w:rPr>
          <w:i/>
          <w:color w:val="000000"/>
          <w:sz w:val="20"/>
          <w:szCs w:val="20"/>
        </w:rPr>
        <w:t>’</w:t>
      </w:r>
      <w:r>
        <w:rPr>
          <w:iCs/>
          <w:color w:val="000000"/>
          <w:sz w:val="20"/>
          <w:szCs w:val="20"/>
        </w:rPr>
        <w:t xml:space="preserve"> stereotype, a reductive myth that historically subjected blonde women, particularly in Western contexts, to negative stereotypes. By referencing Monroe, (G)I-DLE seeks to challenge these outdated notions, inviting listeners to reconsider the impact of such stereotypes on perceptions of women. This reinterpretation of Monroe not only subverts the ‘</w:t>
      </w:r>
      <w:r>
        <w:rPr>
          <w:i/>
          <w:color w:val="000000"/>
          <w:sz w:val="20"/>
          <w:szCs w:val="20"/>
        </w:rPr>
        <w:t>sex symbols’</w:t>
      </w:r>
      <w:r>
        <w:rPr>
          <w:iCs/>
          <w:color w:val="000000"/>
          <w:sz w:val="20"/>
          <w:szCs w:val="20"/>
        </w:rPr>
        <w:t xml:space="preserve"> label but also draws attention to the deeper issues surrounding objections and the persistent pressures women face to meet societal expectations. Through, ‘</w:t>
      </w:r>
      <w:r>
        <w:rPr>
          <w:i/>
          <w:color w:val="000000"/>
          <w:sz w:val="20"/>
          <w:szCs w:val="20"/>
        </w:rPr>
        <w:t xml:space="preserve">NXDE,’ </w:t>
      </w:r>
      <w:r>
        <w:rPr>
          <w:iCs/>
          <w:color w:val="000000"/>
          <w:sz w:val="20"/>
          <w:szCs w:val="20"/>
        </w:rPr>
        <w:t xml:space="preserve">(G)I-DLE contributes to a broader conversation on women’s empowerment, blending feminist messages with a critique of cultural stereotypes. This track underscores the ways in which popular culture can serve as a vehicle for social commentary, challenging audiences to question established norms and fostering a more nuanced understanding of female identity and empowerment. </w:t>
      </w:r>
    </w:p>
    <w:p w14:paraId="7F48A706" w14:textId="77777777" w:rsidR="00640082" w:rsidRDefault="00640082" w:rsidP="00C93575">
      <w:pPr>
        <w:pStyle w:val="NormalWeb"/>
        <w:spacing w:before="0" w:beforeAutospacing="0" w:after="0" w:afterAutospacing="0"/>
        <w:ind w:left="720" w:firstLine="720"/>
        <w:jc w:val="both"/>
        <w:rPr>
          <w:iCs/>
          <w:color w:val="000000"/>
          <w:sz w:val="20"/>
          <w:szCs w:val="20"/>
        </w:rPr>
      </w:pPr>
      <w:r>
        <w:rPr>
          <w:iCs/>
          <w:color w:val="000000"/>
          <w:sz w:val="20"/>
          <w:szCs w:val="20"/>
        </w:rPr>
        <w:t>This article aims to explore how social criticism is conveyed through the symbolic and visual elements in (G)I-DLE ‘</w:t>
      </w:r>
      <w:r>
        <w:rPr>
          <w:i/>
          <w:color w:val="000000"/>
          <w:sz w:val="20"/>
          <w:szCs w:val="20"/>
        </w:rPr>
        <w:t>NXDE’</w:t>
      </w:r>
      <w:r>
        <w:rPr>
          <w:iCs/>
          <w:color w:val="000000"/>
          <w:sz w:val="20"/>
          <w:szCs w:val="20"/>
        </w:rPr>
        <w:t xml:space="preserve"> music video. The video serves as a medium of expression where multiple forms of social critique, including the objectification and stereotyping of women, are embedded within the imagery and aesthetics. By employing symbolic representations, such as the iconic image of Marylin Monroe, the video disrupts traditional perceptions and highlights the restrictive beauty standards and reductive gender roles imposed on women in society. Semiotic analysis of these elements provides insights into how the music video employs imagery, color, and symbolism to critique societal pressures and redefine femininity within a more empowering framework </w:t>
      </w:r>
      <w:r>
        <w:rPr>
          <w:iCs/>
          <w:color w:val="000000"/>
          <w:sz w:val="20"/>
          <w:szCs w:val="20"/>
        </w:rPr>
        <w:fldChar w:fldCharType="begin"/>
      </w:r>
      <w:r>
        <w:rPr>
          <w:iCs/>
          <w:color w:val="000000"/>
          <w:sz w:val="20"/>
          <w:szCs w:val="20"/>
        </w:rPr>
        <w:instrText xml:space="preserve"> ADDIN ZOTERO_ITEM CSL_CITATION {"citationID":"IDQtmVK8","properties":{"formattedCitation":"(Milestone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iCs/>
          <w:color w:val="000000"/>
          <w:sz w:val="20"/>
          <w:szCs w:val="20"/>
        </w:rPr>
        <w:fldChar w:fldCharType="separate"/>
      </w:r>
      <w:r>
        <w:rPr>
          <w:iCs/>
          <w:noProof/>
          <w:color w:val="000000"/>
          <w:sz w:val="20"/>
          <w:szCs w:val="20"/>
        </w:rPr>
        <w:t>(Milestone &amp; Meyer, 2020)</w:t>
      </w:r>
      <w:r>
        <w:rPr>
          <w:iCs/>
          <w:color w:val="000000"/>
          <w:sz w:val="20"/>
          <w:szCs w:val="20"/>
        </w:rPr>
        <w:fldChar w:fldCharType="end"/>
      </w:r>
      <w:r>
        <w:rPr>
          <w:iCs/>
          <w:color w:val="000000"/>
          <w:sz w:val="20"/>
          <w:szCs w:val="20"/>
        </w:rPr>
        <w:t xml:space="preserve"> </w:t>
      </w:r>
      <w:r>
        <w:rPr>
          <w:iCs/>
          <w:color w:val="000000"/>
          <w:sz w:val="20"/>
          <w:szCs w:val="20"/>
        </w:rPr>
        <w:fldChar w:fldCharType="begin"/>
      </w:r>
      <w:r>
        <w:rPr>
          <w:iCs/>
          <w:color w:val="000000"/>
          <w:sz w:val="20"/>
          <w:szCs w:val="20"/>
        </w:rPr>
        <w:instrText xml:space="preserve"> ADDIN ZOTERO_ITEM CSL_CITATION {"citationID":"May4gqRa","properties":{"formattedCitation":"(Harvey, 2019)","plainCitation":"(Harvey, 2019)","noteIndex":0},"citationItems":[{"id":845,"uris":["http://zotero.org/users/local/MvyTXXMq/items/LSK4HK22"],"itemData":{"id":845,"type":"book","event-place":"Cambridge","publisher":"John Wiley &amp; Sons.","publisher-place":"Cambridge","title":"Feminist media studies","author":[{"family":"Harvey","given":"A."}],"issued":{"date-parts":[["2019"]]}}}],"schema":"https://github.com/citation-style-language/schema/raw/master/csl-citation.json"} </w:instrText>
      </w:r>
      <w:r>
        <w:rPr>
          <w:iCs/>
          <w:color w:val="000000"/>
          <w:sz w:val="20"/>
          <w:szCs w:val="20"/>
        </w:rPr>
        <w:fldChar w:fldCharType="separate"/>
      </w:r>
      <w:r>
        <w:rPr>
          <w:iCs/>
          <w:noProof/>
          <w:color w:val="000000"/>
          <w:sz w:val="20"/>
          <w:szCs w:val="20"/>
        </w:rPr>
        <w:t>(Harvey, 2019)</w:t>
      </w:r>
      <w:r>
        <w:rPr>
          <w:iCs/>
          <w:color w:val="000000"/>
          <w:sz w:val="20"/>
          <w:szCs w:val="20"/>
        </w:rPr>
        <w:fldChar w:fldCharType="end"/>
      </w:r>
      <w:r>
        <w:rPr>
          <w:iCs/>
          <w:color w:val="000000"/>
          <w:sz w:val="20"/>
          <w:szCs w:val="20"/>
        </w:rPr>
        <w:t xml:space="preserve">. The aim is to decode these semiotic cues to better understand how K-pop artists leverage visual storytelling as a form of resistance against entrenched patriarchal norms. </w:t>
      </w:r>
    </w:p>
    <w:p w14:paraId="213C9A9A" w14:textId="77777777" w:rsidR="00640082" w:rsidRDefault="00640082" w:rsidP="00C93575">
      <w:pPr>
        <w:pStyle w:val="NormalWeb"/>
        <w:spacing w:before="0" w:beforeAutospacing="0" w:after="0" w:afterAutospacing="0"/>
        <w:ind w:left="720" w:firstLine="720"/>
        <w:jc w:val="both"/>
        <w:rPr>
          <w:iCs/>
          <w:color w:val="000000"/>
          <w:sz w:val="20"/>
          <w:szCs w:val="20"/>
        </w:rPr>
      </w:pPr>
      <w:r>
        <w:rPr>
          <w:iCs/>
          <w:color w:val="000000"/>
          <w:sz w:val="20"/>
          <w:szCs w:val="20"/>
        </w:rPr>
        <w:t>Additionally, this study seeks to analyze the connections between feminist ideologies and the semiotic elements in ‘</w:t>
      </w:r>
      <w:r>
        <w:rPr>
          <w:i/>
          <w:color w:val="000000"/>
          <w:sz w:val="20"/>
          <w:szCs w:val="20"/>
        </w:rPr>
        <w:t>NXDE’</w:t>
      </w:r>
      <w:r>
        <w:rPr>
          <w:iCs/>
          <w:color w:val="000000"/>
          <w:sz w:val="20"/>
          <w:szCs w:val="20"/>
        </w:rPr>
        <w:t xml:space="preserve">. Feminist theory argues that popular culture is a fertile ground for the dissemination of feminist values and that visual media can act as a powerful conduit for challenging societal expectations </w:t>
      </w:r>
      <w:r>
        <w:rPr>
          <w:iCs/>
          <w:color w:val="000000"/>
          <w:sz w:val="20"/>
          <w:szCs w:val="20"/>
        </w:rPr>
        <w:fldChar w:fldCharType="begin"/>
      </w:r>
      <w:r>
        <w:rPr>
          <w:iCs/>
          <w:color w:val="000000"/>
          <w:sz w:val="20"/>
          <w:szCs w:val="20"/>
        </w:rPr>
        <w:instrText xml:space="preserve"> ADDIN ZOTERO_ITEM CSL_CITATION {"citationID":"QEHMxSm8","properties":{"formattedCitation":"(Milestone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iCs/>
          <w:color w:val="000000"/>
          <w:sz w:val="20"/>
          <w:szCs w:val="20"/>
        </w:rPr>
        <w:fldChar w:fldCharType="separate"/>
      </w:r>
      <w:r>
        <w:rPr>
          <w:iCs/>
          <w:noProof/>
          <w:color w:val="000000"/>
          <w:sz w:val="20"/>
          <w:szCs w:val="20"/>
        </w:rPr>
        <w:t>(Milestone &amp; Meyer, 2020)</w:t>
      </w:r>
      <w:r>
        <w:rPr>
          <w:iCs/>
          <w:color w:val="000000"/>
          <w:sz w:val="20"/>
          <w:szCs w:val="20"/>
        </w:rPr>
        <w:fldChar w:fldCharType="end"/>
      </w:r>
      <w:r>
        <w:rPr>
          <w:iCs/>
          <w:color w:val="000000"/>
          <w:sz w:val="20"/>
          <w:szCs w:val="20"/>
        </w:rPr>
        <w:t xml:space="preserve">. This article intends to explore how feminist ideologies are not only embedded but also actively promoted through the song’s imagery, lyrics, and visual narrative. By focusing on how the video reinterprets the Monroe archetype, this study highlights how (G)I-DLE uses these semiotic tools to confront stereotypes while advocating for self-worth and authenticity, addressing issues central to feminist discourse. The analysis will draw on frameworks in feminist semiotics to elucidate the ways that (G)I-DLE visual language resonates with global audiences, bringing attention to themes of empowerment and resistance within a highly commercialized music industry </w:t>
      </w:r>
      <w:r>
        <w:rPr>
          <w:iCs/>
          <w:color w:val="000000"/>
          <w:sz w:val="20"/>
          <w:szCs w:val="20"/>
        </w:rPr>
        <w:fldChar w:fldCharType="begin"/>
      </w:r>
      <w:r>
        <w:rPr>
          <w:iCs/>
          <w:color w:val="000000"/>
          <w:sz w:val="20"/>
          <w:szCs w:val="20"/>
        </w:rPr>
        <w:instrText xml:space="preserve"> ADDIN ZOTERO_ITEM CSL_CITATION {"citationID":"snN6n6dU","properties":{"formattedCitation":"(Hollows, 2024)","plainCitation":"(Hollows, 2024)","noteIndex":0},"citationItems":[{"id":846,"uris":["http://zotero.org/users/local/MvyTXXMq/items/3RXZG2UF"],"itemData":{"id":846,"type":"chapter","container-title":"Feminism, Femininity and Popular Culture","event-place":"Manchester","page":"19-36","publisher":"Manchester University Press.","publisher-place":"Manchester","title":"Feminism, cultural studies and popular culture","author":[{"family":"Hollows","given":"J."}],"issued":{"date-parts":[["2024"]]}}}],"schema":"https://github.com/citation-style-language/schema/raw/master/csl-citation.json"} </w:instrText>
      </w:r>
      <w:r>
        <w:rPr>
          <w:iCs/>
          <w:color w:val="000000"/>
          <w:sz w:val="20"/>
          <w:szCs w:val="20"/>
        </w:rPr>
        <w:fldChar w:fldCharType="separate"/>
      </w:r>
      <w:r>
        <w:rPr>
          <w:iCs/>
          <w:noProof/>
          <w:color w:val="000000"/>
          <w:sz w:val="20"/>
          <w:szCs w:val="20"/>
        </w:rPr>
        <w:t>(Hollows, 2024)</w:t>
      </w:r>
      <w:r>
        <w:rPr>
          <w:iCs/>
          <w:color w:val="000000"/>
          <w:sz w:val="20"/>
          <w:szCs w:val="20"/>
        </w:rPr>
        <w:fldChar w:fldCharType="end"/>
      </w:r>
      <w:r>
        <w:rPr>
          <w:iCs/>
          <w:color w:val="000000"/>
          <w:sz w:val="20"/>
          <w:szCs w:val="20"/>
        </w:rPr>
        <w:t xml:space="preserve">. </w:t>
      </w:r>
    </w:p>
    <w:p w14:paraId="2D03BE85" w14:textId="77777777" w:rsidR="00640082" w:rsidRPr="00D312F3" w:rsidRDefault="00640082" w:rsidP="00C93575">
      <w:pPr>
        <w:pStyle w:val="NormalWeb"/>
        <w:spacing w:before="0" w:beforeAutospacing="0" w:after="0" w:afterAutospacing="0"/>
        <w:ind w:left="720" w:firstLine="720"/>
        <w:jc w:val="both"/>
        <w:rPr>
          <w:iCs/>
          <w:color w:val="000000"/>
          <w:sz w:val="20"/>
          <w:szCs w:val="20"/>
        </w:rPr>
      </w:pPr>
      <w:r>
        <w:rPr>
          <w:iCs/>
          <w:color w:val="000000"/>
          <w:sz w:val="20"/>
          <w:szCs w:val="20"/>
        </w:rPr>
        <w:t xml:space="preserve">This article significantly contributes to the discourse on gender representation in popular culture by providing a focused, critical analysis of objectification within the K-pop industry through semiotic interpretation. By examining how (G)I-DLE employs visual and symbolic elements to communicate feminist critiques, the research offers insights into how popular media shape and potentially transform gender perceptions in East Asian and international societies. Gender representation in popular culture, especially within highly visual platforms like K-pop, plays a crucial role in reinforcing or contesting societal expectations around </w:t>
      </w:r>
      <w:proofErr w:type="spellStart"/>
      <w:r>
        <w:rPr>
          <w:iCs/>
          <w:color w:val="000000"/>
          <w:sz w:val="20"/>
          <w:szCs w:val="20"/>
        </w:rPr>
        <w:t>feminity</w:t>
      </w:r>
      <w:proofErr w:type="spellEnd"/>
      <w:r>
        <w:rPr>
          <w:iCs/>
          <w:color w:val="000000"/>
          <w:sz w:val="20"/>
          <w:szCs w:val="20"/>
        </w:rPr>
        <w:t xml:space="preserve"> in self-worth </w:t>
      </w:r>
      <w:r>
        <w:rPr>
          <w:iCs/>
          <w:color w:val="000000"/>
          <w:sz w:val="20"/>
          <w:szCs w:val="20"/>
        </w:rPr>
        <w:fldChar w:fldCharType="begin"/>
      </w:r>
      <w:r>
        <w:rPr>
          <w:iCs/>
          <w:color w:val="000000"/>
          <w:sz w:val="20"/>
          <w:szCs w:val="20"/>
        </w:rPr>
        <w:instrText xml:space="preserve"> ADDIN ZOTERO_ITEM CSL_CITATION {"citationID":"6sqweJ7k","properties":{"formattedCitation":"(Zhang et al., 2022)","plainCitation":"(Zhang et al., 2022)","noteIndex":0},"citationItems":[{"id":847,"uris":["http://zotero.org/users/local/MvyTXXMq/items/EB6UWSUN"],"itemData":{"id":847,"type":"paper-conference","event-title":"5th International Conference on Humanities Education and Social Sciences (ICHESS 202)","page":"2868-2877","publisher":"Atlantis Press","title":"Redefining Womanhood in Generation Z: An Analysis of Gender Representation and Awareness in K-pop Culture","author":[{"family":"Zhang","given":"Y."},{"family":"Chen","given":"L."},{"family":"Chen","given":"J."},{"family":"Mi","given":"X."},{"family":"Zhu","given":"S."}],"issued":{"date-parts":[["2022",12]]}}}],"schema":"https://github.com/citation-style-language/schema/raw/master/csl-citation.json"} </w:instrText>
      </w:r>
      <w:r>
        <w:rPr>
          <w:iCs/>
          <w:color w:val="000000"/>
          <w:sz w:val="20"/>
          <w:szCs w:val="20"/>
        </w:rPr>
        <w:fldChar w:fldCharType="separate"/>
      </w:r>
      <w:r>
        <w:rPr>
          <w:iCs/>
          <w:noProof/>
          <w:color w:val="000000"/>
          <w:sz w:val="20"/>
          <w:szCs w:val="20"/>
        </w:rPr>
        <w:t>(Zhang et al., 2022)</w:t>
      </w:r>
      <w:r>
        <w:rPr>
          <w:iCs/>
          <w:color w:val="000000"/>
          <w:sz w:val="20"/>
          <w:szCs w:val="20"/>
        </w:rPr>
        <w:fldChar w:fldCharType="end"/>
      </w:r>
      <w:r>
        <w:rPr>
          <w:iCs/>
          <w:color w:val="000000"/>
          <w:sz w:val="20"/>
          <w:szCs w:val="20"/>
        </w:rPr>
        <w:t xml:space="preserve">. Through semiotic analysis, this study sheds light on how K-pop can subvert stereotypes, presenting a feminist discourse that resonates with both local and global audiences. Such contributions are essential in understanding the broader cultural implications of media in shaping contemporary gender identities, furthering the dialogue on how feminist ideals can be integrated into mainstream entertainment and challenge hegemonic representations in popular media </w:t>
      </w:r>
      <w:r>
        <w:rPr>
          <w:iCs/>
          <w:color w:val="000000"/>
          <w:sz w:val="20"/>
          <w:szCs w:val="20"/>
        </w:rPr>
        <w:fldChar w:fldCharType="begin"/>
      </w:r>
      <w:r>
        <w:rPr>
          <w:iCs/>
          <w:color w:val="000000"/>
          <w:sz w:val="20"/>
          <w:szCs w:val="20"/>
        </w:rPr>
        <w:instrText xml:space="preserve"> ADDIN ZOTERO_ITEM CSL_CITATION {"citationID":"KOC29nsM","properties":{"formattedCitation":"(Whelehan, 2014)","plainCitation":"(Whelehan, 2014)","noteIndex":0},"citationItems":[{"id":848,"uris":["http://zotero.org/users/local/MvyTXXMq/items/SK9AXI66"],"itemData":{"id":848,"type":"chapter","container-title":"The SAGE handbook of feminist theory,","event-place":"New Jersey","page":"232-250","publisher":"SAGE Publications","publisher-place":"New Jersey","title":"Representing women in popular culture.","author":[{"family":"Whelehan","given":"I."}],"issued":{"date-parts":[["2014"]]}}}],"schema":"https://github.com/citation-style-language/schema/raw/master/csl-citation.json"} </w:instrText>
      </w:r>
      <w:r>
        <w:rPr>
          <w:iCs/>
          <w:color w:val="000000"/>
          <w:sz w:val="20"/>
          <w:szCs w:val="20"/>
        </w:rPr>
        <w:fldChar w:fldCharType="separate"/>
      </w:r>
      <w:r>
        <w:rPr>
          <w:iCs/>
          <w:noProof/>
          <w:color w:val="000000"/>
          <w:sz w:val="20"/>
          <w:szCs w:val="20"/>
        </w:rPr>
        <w:t>(Whelehan, 2014)</w:t>
      </w:r>
      <w:r>
        <w:rPr>
          <w:iCs/>
          <w:color w:val="000000"/>
          <w:sz w:val="20"/>
          <w:szCs w:val="20"/>
        </w:rPr>
        <w:fldChar w:fldCharType="end"/>
      </w:r>
      <w:r>
        <w:rPr>
          <w:iCs/>
          <w:color w:val="000000"/>
          <w:sz w:val="20"/>
          <w:szCs w:val="20"/>
        </w:rPr>
        <w:t xml:space="preserve">. </w:t>
      </w:r>
    </w:p>
    <w:p w14:paraId="03B0AD1E" w14:textId="77777777" w:rsidR="00640082" w:rsidRPr="00C93575" w:rsidRDefault="00640082" w:rsidP="00C93575">
      <w:pPr>
        <w:pStyle w:val="NormalWeb"/>
        <w:spacing w:before="0" w:beforeAutospacing="0" w:after="0" w:afterAutospacing="0"/>
        <w:ind w:left="720" w:firstLine="720"/>
        <w:jc w:val="both"/>
        <w:rPr>
          <w:color w:val="000000"/>
          <w:sz w:val="20"/>
          <w:szCs w:val="20"/>
        </w:rPr>
      </w:pPr>
    </w:p>
    <w:p w14:paraId="2BEDFF3D" w14:textId="77777777" w:rsidR="00640082" w:rsidRPr="007B43A3" w:rsidRDefault="00640082" w:rsidP="00822617">
      <w:pPr>
        <w:pStyle w:val="ListParagraph"/>
        <w:numPr>
          <w:ilvl w:val="0"/>
          <w:numId w:val="18"/>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lang w:val="en-US"/>
        </w:rPr>
        <w:t xml:space="preserve">Methods </w:t>
      </w:r>
    </w:p>
    <w:p w14:paraId="6465887F" w14:textId="77777777" w:rsidR="00640082" w:rsidRDefault="00640082" w:rsidP="003B4978">
      <w:pPr>
        <w:spacing w:line="240" w:lineRule="auto"/>
        <w:ind w:left="717" w:firstLine="363"/>
        <w:rPr>
          <w:rFonts w:ascii="Times New Roman" w:hAnsi="Times New Roman" w:cs="Times New Roman"/>
          <w:sz w:val="20"/>
          <w:szCs w:val="20"/>
        </w:rPr>
      </w:pPr>
      <w:r>
        <w:rPr>
          <w:rFonts w:ascii="Times New Roman" w:hAnsi="Times New Roman" w:cs="Times New Roman"/>
          <w:sz w:val="20"/>
          <w:szCs w:val="20"/>
        </w:rPr>
        <w:t>This study employs a qualitative interpretative research design, utilizing semiotic analysis to explore the representation of gender and objectification within the media content of (G)I-DLE’s ‘</w:t>
      </w:r>
      <w:r>
        <w:rPr>
          <w:rFonts w:ascii="Times New Roman" w:hAnsi="Times New Roman" w:cs="Times New Roman"/>
          <w:i/>
          <w:iCs/>
          <w:sz w:val="20"/>
          <w:szCs w:val="20"/>
        </w:rPr>
        <w:t>NXDE’</w:t>
      </w:r>
      <w:r>
        <w:rPr>
          <w:rFonts w:ascii="Times New Roman" w:hAnsi="Times New Roman" w:cs="Times New Roman"/>
          <w:sz w:val="20"/>
          <w:szCs w:val="20"/>
        </w:rPr>
        <w:t xml:space="preserve"> music video. Semiotic analysis, as an interpretative method, allows for an in-depth examination of the signs, symbols, and meanings embedded in visual media, providing insights into how popular culture narratives communicate social critiques and feminist values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{"citationID":"A8xahZdr","properties":{"formattedCitation":"(Storey, 2021)","plainCitation":"(Storey, 2021)","noteIndex":0},"citationItems":[{"id":849,"uris":["http://zotero.org/users/local/MvyTXXMq/items/ZLRTVFQC"],"itemData":{"id":849,"type":"book","event-place":"London","publisher":"Routledge","publisher-place":"London","title":"Cultural theory and popular culture: An introduction.","author":[{"family":"Storey","given":"J."}],"issued":{"date-parts":[["2021"]]}}}],"schema":"https://github.com/citation-style-language/schema/raw/master/csl-citation.json"}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(Storey, 2021)</w:t>
      </w:r>
      <w:r>
        <w:rPr>
          <w:rFonts w:ascii="Times New Roman" w:hAnsi="Times New Roman" w:cs="Times New Roman"/>
          <w:sz w:val="20"/>
          <w:szCs w:val="20"/>
        </w:rPr>
        <w:fldChar w:fldCharType="end"/>
      </w:r>
      <w:r>
        <w:rPr>
          <w:rFonts w:ascii="Times New Roman" w:hAnsi="Times New Roman" w:cs="Times New Roman"/>
          <w:sz w:val="20"/>
          <w:szCs w:val="20"/>
        </w:rPr>
        <w:t>. Through this approach, the article aims to decode the underlying messages in ‘</w:t>
      </w:r>
      <w:r>
        <w:rPr>
          <w:rFonts w:ascii="Times New Roman" w:hAnsi="Times New Roman" w:cs="Times New Roman"/>
          <w:i/>
          <w:iCs/>
          <w:sz w:val="20"/>
          <w:szCs w:val="20"/>
        </w:rPr>
        <w:t>NXDE’</w:t>
      </w:r>
      <w:r>
        <w:rPr>
          <w:rFonts w:ascii="Times New Roman" w:hAnsi="Times New Roman" w:cs="Times New Roman"/>
          <w:sz w:val="20"/>
          <w:szCs w:val="20"/>
        </w:rPr>
        <w:t xml:space="preserve"> that challenge traditional gender norms and objectification, analyzing how specific visual cues, symbolic representations, and aesthetic choices contributes to the broader discourse on gender equality within the K-pop industry. This interpretative lens aligns with the objective of understanding how media serves as both a reflection of and resistance to societal values, particularly in the context of feminist critiques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{"citationID":"JRg8IMjG","properties":{"formattedCitation":"(Barthes, 1968)","plainCitation":"(Barthes, 1968)","noteIndex":0},"citationItems":[{"id":850,"uris":["http://zotero.org/users/local/MvyTXXMq/items/3D54RFXZ"],"itemData":{"id":850,"type":"book","publisher":"Macmillan","title":"Elements of semiology. Vol. 4.","URL":"https://basearts.com/curriculum/PDF/netart/3773-elements_of_semiology_first.pdf","author":[{"family":"Barthes","given":"Roland"}],"issued":{"date-parts":[["1968"]]}}}],"schema":"https://github.com/citation-style-language/schema/raw/master/csl-citation.json"}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(Barthes, 1968)</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263258F7" w14:textId="77777777" w:rsidR="00640082" w:rsidRDefault="00640082" w:rsidP="003B4978">
      <w:pPr>
        <w:spacing w:line="240" w:lineRule="auto"/>
        <w:ind w:left="717" w:firstLine="363"/>
        <w:rPr>
          <w:rFonts w:ascii="Times New Roman" w:hAnsi="Times New Roman" w:cs="Times New Roman"/>
          <w:sz w:val="20"/>
          <w:szCs w:val="20"/>
        </w:rPr>
      </w:pPr>
      <w:r>
        <w:rPr>
          <w:rFonts w:ascii="Times New Roman" w:hAnsi="Times New Roman" w:cs="Times New Roman"/>
          <w:sz w:val="20"/>
          <w:szCs w:val="20"/>
        </w:rPr>
        <w:t>The primary data sources for this analysis is the music video for ‘</w:t>
      </w:r>
      <w:r>
        <w:rPr>
          <w:rFonts w:ascii="Times New Roman" w:hAnsi="Times New Roman" w:cs="Times New Roman"/>
          <w:i/>
          <w:iCs/>
          <w:sz w:val="20"/>
          <w:szCs w:val="20"/>
        </w:rPr>
        <w:t>NXDE’</w:t>
      </w:r>
      <w:r>
        <w:rPr>
          <w:rFonts w:ascii="Times New Roman" w:hAnsi="Times New Roman" w:cs="Times New Roman"/>
          <w:sz w:val="20"/>
          <w:szCs w:val="20"/>
        </w:rPr>
        <w:t xml:space="preserve">, released by (G)I-DLE and available on YouTube, a platform that amplifies its reach to glboal audiences. By focusing on the visual and narrative elements of the music video, this study investigates the symbolic references that convey themes of women’s empowerment and resistance to objectification. Drawing on Barthesian semiotics, the study decodes the visual language and cultural references within the music video, interpreting how iconic symbols like Marilyn Monroe are recontextualized to question established stereotypes and promote self-worth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{"citationID":"sImHur23","properties":{"formattedCitation":"(Barthes, 1968)","plainCitation":"(Barthes, 1968)","noteIndex":0},"citationItems":[{"id":850,"uris":["http://zotero.org/users/local/MvyTXXMq/items/3D54RFXZ"],"itemData":{"id":850,"type":"book","publisher":"Macmillan","title":"Elements of semiology. Vol. 4.","URL":"https://basearts.com/curriculum/PDF/netart/3773-elements_of_semiology_first.pdf","author":[{"family":"Barthes","given":"Roland"}],"issued":{"date-parts":[["1968"]]}}}],"schema":"https://github.com/citation-style-language/schema/raw/master/csl-citation.json"}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(Barthes, 1968)</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{"citationID":"S3XMZshG","properties":{"formattedCitation":"(Zhang et al., 2022)","plainCitation":"(Zhang et al., 2022)","noteIndex":0},"citationItems":[{"id":847,"uris":["http://zotero.org/users/local/MvyTXXMq/items/EB6UWSUN"],"itemData":{"id":847,"type":"paper-conference","event-title":"5th International Conference on Humanities Education and Social Sciences (ICHESS 202)","page":"2868-2877","publisher":"Atlantis Press","title":"Redefining Womanhood in Generation Z: An Analysis of Gender Representation and Awareness in K-pop Culture","author":[{"family":"Zhang","given":"Y."},{"family":"Chen","given":"L."},{"family":"Chen","given":"J."},{"family":"Mi","given":"X."},{"family":"Zhu","given":"S."}],"issued":{"date-parts":[["2022",12]]}}}],"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(Zhang et al., 2022)</w:t>
      </w:r>
      <w:r>
        <w:rPr>
          <w:rFonts w:ascii="Times New Roman" w:hAnsi="Times New Roman" w:cs="Times New Roman"/>
          <w:sz w:val="20"/>
          <w:szCs w:val="20"/>
        </w:rPr>
        <w:fldChar w:fldCharType="end"/>
      </w:r>
      <w:r>
        <w:rPr>
          <w:rFonts w:ascii="Times New Roman" w:hAnsi="Times New Roman" w:cs="Times New Roman"/>
          <w:sz w:val="20"/>
          <w:szCs w:val="20"/>
        </w:rPr>
        <w:t xml:space="preserve">. This analysis plays particular attention to the interaction of color, costume, and choreography as semiotic elements that contribute to the video’s feminist messages. </w:t>
      </w:r>
    </w:p>
    <w:p w14:paraId="748BB3A0" w14:textId="77777777" w:rsidR="00640082" w:rsidRDefault="00640082" w:rsidP="00E36892">
      <w:pPr>
        <w:spacing w:line="240" w:lineRule="auto"/>
        <w:ind w:left="717" w:firstLine="363"/>
        <w:rPr>
          <w:rFonts w:ascii="Times New Roman" w:hAnsi="Times New Roman" w:cs="Times New Roman"/>
          <w:sz w:val="20"/>
          <w:szCs w:val="20"/>
          <w:lang w:val="en-US"/>
        </w:rPr>
      </w:pPr>
      <w:r>
        <w:rPr>
          <w:rFonts w:ascii="Times New Roman" w:hAnsi="Times New Roman" w:cs="Times New Roman"/>
          <w:sz w:val="20"/>
          <w:szCs w:val="20"/>
        </w:rPr>
        <w:t xml:space="preserve">Secondary data sources include scholarly articles, interview, and previous studies addressing gender objectification in media, with a focus on feminist theory, particularly radical feminism as proposed by Andrea Dworkin. Dworkin’s work provides a critical lens for examining how objectification manifests in media and how feminist narratives in popular culture, such as those in K-pop, activel resist or subvert these tendencies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{"citationID":"SN1HzRuk","properties":{"formattedCitation":"(Brecher, 2015)","plainCitation":"(Brecher, 2015)","noteIndex":0},"citationItems":[{"id":851,"uris":["http://zotero.org/users/local/MvyTXXMq/items/8JKLLJ4V"],"itemData":{"id":851,"type":"chapter","container-title":"Women and Violence: The Agency of Victims and Perpetrators","event-place":"London","page":"145-161","publisher":"Palgrave Macmillan","publisher-place":"London","title":"Andrea Dworkin’s pornography: Men possessing women—A reassessment","author":[{"family":"Brecher","given":"B."}],"issued":{"date-parts":[["2015"]]}}}],"schema":"https://github.com/citation-style-language/schema/raw/master/csl-citation.json"}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(Brecher, 2015)</w:t>
      </w:r>
      <w:r>
        <w:rPr>
          <w:rFonts w:ascii="Times New Roman" w:hAnsi="Times New Roman" w:cs="Times New Roman"/>
          <w:sz w:val="20"/>
          <w:szCs w:val="20"/>
        </w:rPr>
        <w:fldChar w:fldCharType="end"/>
      </w:r>
      <w:r>
        <w:rPr>
          <w:rFonts w:ascii="Times New Roman" w:hAnsi="Times New Roman" w:cs="Times New Roman"/>
          <w:sz w:val="20"/>
          <w:szCs w:val="20"/>
        </w:rPr>
        <w:t xml:space="preserve">. Additionally, contemporary feminist scholarship enriches the semiotic interpretation by contextualizing how globalized media, especially K-pop, can influence and reshape perceptions of gender across different cultural context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{"citationID":"vJt974KW","properties":{"formattedCitation":"(Milestone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rFonts w:ascii="Times New Roman" w:hAnsi="Times New Roman" w:cs="Times New Roman"/>
          <w:sz w:val="20"/>
          <w:szCs w:val="20"/>
        </w:rPr>
        <w:fldChar w:fldCharType="separate"/>
      </w:r>
      <w:r>
        <w:rPr>
          <w:rFonts w:ascii="Times New Roman" w:hAnsi="Times New Roman" w:cs="Times New Roman"/>
          <w:noProof/>
          <w:sz w:val="20"/>
          <w:szCs w:val="20"/>
        </w:rPr>
        <w:t>(Milestone &amp; Meyer, 2020)</w:t>
      </w:r>
      <w:r>
        <w:rPr>
          <w:rFonts w:ascii="Times New Roman" w:hAnsi="Times New Roman" w:cs="Times New Roman"/>
          <w:sz w:val="20"/>
          <w:szCs w:val="20"/>
        </w:rPr>
        <w:fldChar w:fldCharType="end"/>
      </w:r>
      <w:r>
        <w:rPr>
          <w:rFonts w:ascii="Times New Roman" w:hAnsi="Times New Roman" w:cs="Times New Roman"/>
          <w:sz w:val="20"/>
          <w:szCs w:val="20"/>
        </w:rPr>
        <w:t>. By integrating these theoretical frameworks, this study provides a comprehensive interpretative analysis that situates ‘</w:t>
      </w:r>
      <w:r>
        <w:rPr>
          <w:rFonts w:ascii="Times New Roman" w:hAnsi="Times New Roman" w:cs="Times New Roman"/>
          <w:i/>
          <w:iCs/>
          <w:sz w:val="20"/>
          <w:szCs w:val="20"/>
        </w:rPr>
        <w:t>NXDE’</w:t>
      </w:r>
      <w:r>
        <w:rPr>
          <w:rFonts w:ascii="Times New Roman" w:hAnsi="Times New Roman" w:cs="Times New Roman"/>
          <w:sz w:val="20"/>
          <w:szCs w:val="20"/>
        </w:rPr>
        <w:t xml:space="preserve"> within the ongoing conversation on feminist representation and gender politics in the digital age. </w:t>
      </w:r>
    </w:p>
    <w:p w14:paraId="2E76EE4C" w14:textId="77777777" w:rsidR="00640082" w:rsidRDefault="00640082" w:rsidP="00E36892">
      <w:pPr>
        <w:spacing w:line="240" w:lineRule="auto"/>
        <w:ind w:left="717" w:firstLine="363"/>
        <w:rPr>
          <w:rFonts w:ascii="Times New Roman" w:hAnsi="Times New Roman" w:cs="Times New Roman"/>
          <w:sz w:val="20"/>
          <w:szCs w:val="20"/>
          <w:lang w:val="en-US"/>
        </w:rPr>
      </w:pPr>
    </w:p>
    <w:p w14:paraId="23A0A61D" w14:textId="77777777" w:rsidR="00640082" w:rsidRDefault="00640082" w:rsidP="00E36892">
      <w:pPr>
        <w:spacing w:line="240" w:lineRule="auto"/>
        <w:ind w:left="717" w:firstLine="363"/>
        <w:rPr>
          <w:rFonts w:ascii="Times New Roman" w:hAnsi="Times New Roman" w:cs="Times New Roman"/>
          <w:sz w:val="20"/>
          <w:szCs w:val="20"/>
          <w:lang w:val="en-US"/>
        </w:rPr>
      </w:pPr>
    </w:p>
    <w:p w14:paraId="65116B78" w14:textId="77777777" w:rsidR="00640082" w:rsidRDefault="00640082" w:rsidP="00E36892">
      <w:pPr>
        <w:spacing w:line="240" w:lineRule="auto"/>
        <w:ind w:left="717" w:firstLine="363"/>
        <w:rPr>
          <w:rFonts w:ascii="Times New Roman" w:hAnsi="Times New Roman" w:cs="Times New Roman"/>
          <w:sz w:val="20"/>
          <w:szCs w:val="20"/>
          <w:lang w:val="en-US"/>
        </w:rPr>
      </w:pPr>
    </w:p>
    <w:p w14:paraId="6854B8A0" w14:textId="77777777" w:rsidR="00640082" w:rsidRDefault="00640082" w:rsidP="00E36892">
      <w:pPr>
        <w:spacing w:line="240" w:lineRule="auto"/>
        <w:ind w:left="717" w:firstLine="363"/>
        <w:rPr>
          <w:rFonts w:ascii="Times New Roman" w:hAnsi="Times New Roman" w:cs="Times New Roman"/>
          <w:sz w:val="20"/>
          <w:szCs w:val="20"/>
          <w:lang w:val="en-US"/>
        </w:rPr>
      </w:pPr>
    </w:p>
    <w:p w14:paraId="6F38964F" w14:textId="77777777" w:rsidR="00822617" w:rsidRPr="00915568" w:rsidRDefault="00822617" w:rsidP="00E36892">
      <w:pPr>
        <w:spacing w:line="240" w:lineRule="auto"/>
        <w:ind w:left="717" w:firstLine="363"/>
        <w:rPr>
          <w:rFonts w:ascii="Times New Roman" w:hAnsi="Times New Roman" w:cs="Times New Roman"/>
          <w:sz w:val="20"/>
          <w:szCs w:val="20"/>
          <w:lang w:val="en-US"/>
        </w:rPr>
      </w:pPr>
    </w:p>
    <w:p w14:paraId="153BD0C2" w14:textId="77777777" w:rsidR="00640082" w:rsidRPr="00915568" w:rsidRDefault="00640082" w:rsidP="00822617">
      <w:pPr>
        <w:pStyle w:val="ListParagraph"/>
        <w:numPr>
          <w:ilvl w:val="0"/>
          <w:numId w:val="18"/>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lang w:val="en-US"/>
        </w:rPr>
        <w:t xml:space="preserve">Result and Discussion </w:t>
      </w:r>
    </w:p>
    <w:p w14:paraId="32C454E8" w14:textId="77777777" w:rsidR="00640082" w:rsidRDefault="00640082" w:rsidP="00822617">
      <w:pPr>
        <w:pStyle w:val="NormalWeb"/>
        <w:numPr>
          <w:ilvl w:val="1"/>
          <w:numId w:val="18"/>
        </w:numPr>
        <w:spacing w:before="0" w:beforeAutospacing="0" w:after="0" w:afterAutospacing="0"/>
        <w:ind w:left="1077"/>
        <w:jc w:val="both"/>
        <w:rPr>
          <w:b/>
          <w:bCs/>
          <w:color w:val="000000"/>
          <w:sz w:val="20"/>
          <w:szCs w:val="20"/>
        </w:rPr>
      </w:pPr>
      <w:r>
        <w:rPr>
          <w:b/>
          <w:bCs/>
          <w:color w:val="000000"/>
          <w:sz w:val="20"/>
          <w:szCs w:val="20"/>
        </w:rPr>
        <w:t xml:space="preserve">Scene Analysis </w:t>
      </w:r>
    </w:p>
    <w:p w14:paraId="30FA0520" w14:textId="77777777" w:rsidR="00640082" w:rsidRDefault="00640082" w:rsidP="00915568">
      <w:pPr>
        <w:pStyle w:val="NormalWeb"/>
        <w:spacing w:before="0" w:beforeAutospacing="0" w:after="0" w:afterAutospacing="0"/>
        <w:ind w:left="1077"/>
        <w:jc w:val="both"/>
        <w:rPr>
          <w:b/>
          <w:bCs/>
          <w:color w:val="000000"/>
          <w:sz w:val="20"/>
          <w:szCs w:val="20"/>
        </w:rPr>
      </w:pPr>
      <w:r>
        <w:rPr>
          <w:b/>
          <w:bCs/>
          <w:color w:val="000000"/>
          <w:sz w:val="20"/>
          <w:szCs w:val="20"/>
        </w:rPr>
        <w:t>Scene (00:10-00:18): Deconstructing the ‘</w:t>
      </w:r>
      <w:r w:rsidRPr="002A4CFC">
        <w:rPr>
          <w:b/>
          <w:bCs/>
          <w:i/>
          <w:iCs/>
          <w:color w:val="000000"/>
          <w:sz w:val="20"/>
          <w:szCs w:val="20"/>
        </w:rPr>
        <w:t>Dumb Blonde</w:t>
      </w:r>
      <w:r>
        <w:rPr>
          <w:b/>
          <w:bCs/>
          <w:color w:val="000000"/>
          <w:sz w:val="20"/>
          <w:szCs w:val="20"/>
        </w:rPr>
        <w:t>’ Stereotype and Marylin Monroe’s Iconography</w:t>
      </w:r>
    </w:p>
    <w:p w14:paraId="02A362FD" w14:textId="77777777" w:rsidR="00640082" w:rsidRDefault="00640082" w:rsidP="00915568">
      <w:pPr>
        <w:pStyle w:val="NormalWeb"/>
        <w:spacing w:before="0" w:beforeAutospacing="0" w:after="0" w:afterAutospacing="0"/>
        <w:ind w:left="1077"/>
        <w:jc w:val="both"/>
        <w:rPr>
          <w:b/>
          <w:bCs/>
          <w:color w:val="000000"/>
          <w:sz w:val="20"/>
          <w:szCs w:val="20"/>
        </w:rPr>
      </w:pPr>
    </w:p>
    <w:p w14:paraId="51192687" w14:textId="77777777" w:rsidR="00640082" w:rsidRDefault="00640082" w:rsidP="00915568">
      <w:pPr>
        <w:pStyle w:val="NormalWeb"/>
        <w:spacing w:before="0" w:beforeAutospacing="0" w:after="0" w:afterAutospacing="0"/>
        <w:ind w:left="1077"/>
        <w:jc w:val="center"/>
        <w:rPr>
          <w:b/>
          <w:bCs/>
          <w:color w:val="000000"/>
          <w:sz w:val="20"/>
          <w:szCs w:val="20"/>
        </w:rPr>
      </w:pPr>
      <w:r>
        <w:rPr>
          <w:b/>
          <w:bCs/>
          <w:noProof/>
          <w:color w:val="000000"/>
          <w:sz w:val="20"/>
          <w:szCs w:val="20"/>
          <w14:ligatures w14:val="standardContextual"/>
        </w:rPr>
        <w:drawing>
          <wp:inline distT="0" distB="0" distL="0" distR="0" wp14:anchorId="413AD57F" wp14:editId="091D45D4">
            <wp:extent cx="2395182" cy="1439157"/>
            <wp:effectExtent l="0" t="0" r="5715" b="8890"/>
            <wp:docPr id="323581140" name="Picture 32358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19 171834.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94952" cy="1439019"/>
                    </a:xfrm>
                    <a:prstGeom prst="rect">
                      <a:avLst/>
                    </a:prstGeom>
                  </pic:spPr>
                </pic:pic>
              </a:graphicData>
            </a:graphic>
          </wp:inline>
        </w:drawing>
      </w:r>
    </w:p>
    <w:p w14:paraId="4CE7DFBD" w14:textId="77777777" w:rsidR="00640082" w:rsidRDefault="00640082" w:rsidP="00915568">
      <w:pPr>
        <w:pStyle w:val="NormalWeb"/>
        <w:spacing w:before="0" w:beforeAutospacing="0" w:after="0" w:afterAutospacing="0"/>
        <w:ind w:left="1077"/>
        <w:jc w:val="both"/>
        <w:rPr>
          <w:b/>
          <w:bCs/>
          <w:color w:val="000000"/>
          <w:sz w:val="20"/>
          <w:szCs w:val="20"/>
        </w:rPr>
      </w:pPr>
    </w:p>
    <w:p w14:paraId="767F2634" w14:textId="77777777" w:rsidR="00640082" w:rsidRDefault="00640082" w:rsidP="00915568">
      <w:pPr>
        <w:pStyle w:val="NormalWeb"/>
        <w:spacing w:before="0" w:beforeAutospacing="0" w:after="0" w:afterAutospacing="0"/>
        <w:ind w:left="1134" w:firstLine="720"/>
        <w:jc w:val="both"/>
        <w:rPr>
          <w:color w:val="000000"/>
          <w:sz w:val="20"/>
          <w:szCs w:val="20"/>
        </w:rPr>
      </w:pPr>
      <w:r>
        <w:rPr>
          <w:color w:val="000000"/>
          <w:sz w:val="20"/>
          <w:szCs w:val="20"/>
        </w:rPr>
        <w:t>The scene from 00:10 to 00:18 in (G)I-DLE ‘</w:t>
      </w:r>
      <w:r>
        <w:rPr>
          <w:i/>
          <w:iCs/>
          <w:color w:val="000000"/>
          <w:sz w:val="20"/>
          <w:szCs w:val="20"/>
        </w:rPr>
        <w:t xml:space="preserve">NXDE’ </w:t>
      </w:r>
      <w:r>
        <w:rPr>
          <w:color w:val="000000"/>
          <w:sz w:val="20"/>
          <w:szCs w:val="20"/>
        </w:rPr>
        <w:t xml:space="preserve">music video draws a striking parallel to Marylin Monroe, particularly referencing her role in </w:t>
      </w:r>
      <w:r>
        <w:rPr>
          <w:i/>
          <w:iCs/>
          <w:color w:val="000000"/>
          <w:sz w:val="20"/>
          <w:szCs w:val="20"/>
        </w:rPr>
        <w:t>Gentlemen Prefer Blondes</w:t>
      </w:r>
      <w:r>
        <w:rPr>
          <w:color w:val="000000"/>
          <w:sz w:val="20"/>
          <w:szCs w:val="20"/>
        </w:rPr>
        <w:t xml:space="preserve"> (1953), where she famously performed </w:t>
      </w:r>
      <w:r>
        <w:rPr>
          <w:i/>
          <w:iCs/>
          <w:color w:val="000000"/>
          <w:sz w:val="20"/>
          <w:szCs w:val="20"/>
        </w:rPr>
        <w:t xml:space="preserve">Diamonds Are a Girl’s Best Friend. </w:t>
      </w:r>
      <w:r>
        <w:rPr>
          <w:color w:val="000000"/>
          <w:sz w:val="20"/>
          <w:szCs w:val="20"/>
        </w:rPr>
        <w:t>Monroe, an American icon, embodied the ‘</w:t>
      </w:r>
      <w:r>
        <w:rPr>
          <w:i/>
          <w:iCs/>
          <w:color w:val="000000"/>
          <w:sz w:val="20"/>
          <w:szCs w:val="20"/>
        </w:rPr>
        <w:t>dumb blonde’</w:t>
      </w:r>
      <w:r>
        <w:rPr>
          <w:color w:val="000000"/>
          <w:sz w:val="20"/>
          <w:szCs w:val="20"/>
        </w:rPr>
        <w:t xml:space="preserve"> stereotype with her sultry voice, glamorous appearance, and provocative performances, which cemented her as the quintessential ‘</w:t>
      </w:r>
      <w:r>
        <w:rPr>
          <w:i/>
          <w:iCs/>
          <w:color w:val="000000"/>
          <w:sz w:val="20"/>
          <w:szCs w:val="20"/>
        </w:rPr>
        <w:t xml:space="preserve">sex symbol’ </w:t>
      </w:r>
      <w:r>
        <w:rPr>
          <w:color w:val="000000"/>
          <w:sz w:val="20"/>
          <w:szCs w:val="20"/>
        </w:rPr>
        <w:t xml:space="preserve">of her era. In this video scene, she is adorned in a striking pink gown, surrounded by men bearing lavish gifts, portraying the character as a materialistic and coquettish figure whose power lies solely in her physical allure. This portrayal, along with Monroe’s other roles, perpetuated the stereotype of blonde women as superficial, desirous of male attention, and dependent on their beauty for validation and success </w:t>
      </w:r>
      <w:r>
        <w:rPr>
          <w:color w:val="000000"/>
          <w:sz w:val="20"/>
          <w:szCs w:val="20"/>
        </w:rPr>
        <w:fldChar w:fldCharType="begin"/>
      </w:r>
      <w:r>
        <w:rPr>
          <w:color w:val="000000"/>
          <w:sz w:val="20"/>
          <w:szCs w:val="20"/>
        </w:rPr>
        <w:instrText xml:space="preserve"> ADDIN ZOTERO_ITEM CSL_CITATION {"citationID":"oZEO4DQ5","properties":{"formattedCitation":"(Bolton, 2015)","plainCitation":"(Bolton, 2015)","noteIndex":0},"citationItems":[{"id":852,"uris":["http://zotero.org/users/local/MvyTXXMq/items/URLY9KML"],"itemData":{"id":852,"type":"article-journal","container-title":"Film, fashion &amp; consumption","DOI":"https://doi.org/10.1386/ffc.4.2-3.121_2","issue":"2-3","page":"121-143","title":"#Marilyneveryday: The persistence of Marilyn Monroe as a cultural icon.","volume":"4","author":[{"family":"Bolton","given":"L."}],"issued":{"date-parts":[["2015"]]}}}],"schema":"https://github.com/citation-style-language/schema/raw/master/csl-citation.json"} </w:instrText>
      </w:r>
      <w:r>
        <w:rPr>
          <w:color w:val="000000"/>
          <w:sz w:val="20"/>
          <w:szCs w:val="20"/>
        </w:rPr>
        <w:fldChar w:fldCharType="separate"/>
      </w:r>
      <w:r>
        <w:rPr>
          <w:noProof/>
          <w:color w:val="000000"/>
          <w:sz w:val="20"/>
          <w:szCs w:val="20"/>
        </w:rPr>
        <w:t>(Bolton, 2015)</w:t>
      </w:r>
      <w:r>
        <w:rPr>
          <w:color w:val="000000"/>
          <w:sz w:val="20"/>
          <w:szCs w:val="20"/>
        </w:rPr>
        <w:fldChar w:fldCharType="end"/>
      </w:r>
      <w:r>
        <w:rPr>
          <w:color w:val="000000"/>
          <w:sz w:val="20"/>
          <w:szCs w:val="20"/>
        </w:rPr>
        <w:t xml:space="preserve">. This stereotype, widely normalized in American media, reinforced gendered expectations and contributed to the objectification of women in Western culture </w:t>
      </w:r>
      <w:r>
        <w:rPr>
          <w:color w:val="000000"/>
          <w:sz w:val="20"/>
          <w:szCs w:val="20"/>
        </w:rPr>
        <w:fldChar w:fldCharType="begin"/>
      </w:r>
      <w:r>
        <w:rPr>
          <w:color w:val="000000"/>
          <w:sz w:val="20"/>
          <w:szCs w:val="20"/>
        </w:rPr>
        <w:instrText xml:space="preserve"> ADDIN ZOTERO_ITEM CSL_CITATION {"citationID":"HhbmsTf4","properties":{"formattedCitation":"(Karsay et al., 2018)","plainCitation":"(Karsay et al., 2018)","noteIndex":0},"citationItems":[{"id":853,"uris":["http://zotero.org/users/local/MvyTXXMq/items/5Y64UCDR"],"itemData":{"id":853,"type":"article-journal","container-title":"Psychology of women quarterly","issue":"1","page":"9-28","title":"Sexualizing media use and self-objectification: A meta-analysis.","volume":"42","author":[{"family":"Karsay","given":"K."},{"family":"Knoll","given":"J."},{"family":"Matthes","given":"J."}],"issued":{"date-parts":[["2018"]]}}}],"schema":"https://github.com/citation-style-language/schema/raw/master/csl-citation.json"} </w:instrText>
      </w:r>
      <w:r>
        <w:rPr>
          <w:color w:val="000000"/>
          <w:sz w:val="20"/>
          <w:szCs w:val="20"/>
        </w:rPr>
        <w:fldChar w:fldCharType="separate"/>
      </w:r>
      <w:r>
        <w:rPr>
          <w:noProof/>
          <w:color w:val="000000"/>
          <w:sz w:val="20"/>
          <w:szCs w:val="20"/>
        </w:rPr>
        <w:t>(Karsay et al., 2018)</w:t>
      </w:r>
      <w:r>
        <w:rPr>
          <w:color w:val="000000"/>
          <w:sz w:val="20"/>
          <w:szCs w:val="20"/>
        </w:rPr>
        <w:fldChar w:fldCharType="end"/>
      </w:r>
      <w:r>
        <w:rPr>
          <w:color w:val="000000"/>
          <w:sz w:val="20"/>
          <w:szCs w:val="20"/>
        </w:rPr>
        <w:t xml:space="preserve">. </w:t>
      </w:r>
    </w:p>
    <w:p w14:paraId="06E9A336" w14:textId="77777777" w:rsidR="00640082" w:rsidRDefault="00640082" w:rsidP="000409FE">
      <w:pPr>
        <w:pStyle w:val="NormalWeb"/>
        <w:spacing w:before="0" w:beforeAutospacing="0" w:after="0" w:afterAutospacing="0"/>
        <w:ind w:left="1134" w:firstLine="567"/>
        <w:jc w:val="both"/>
        <w:rPr>
          <w:color w:val="000000"/>
          <w:sz w:val="20"/>
          <w:szCs w:val="20"/>
        </w:rPr>
      </w:pPr>
      <w:r>
        <w:rPr>
          <w:color w:val="000000"/>
          <w:sz w:val="20"/>
          <w:szCs w:val="20"/>
        </w:rPr>
        <w:t>In the ‘</w:t>
      </w:r>
      <w:r>
        <w:rPr>
          <w:i/>
          <w:iCs/>
          <w:color w:val="000000"/>
          <w:sz w:val="20"/>
          <w:szCs w:val="20"/>
        </w:rPr>
        <w:t>NXDE’</w:t>
      </w:r>
      <w:r>
        <w:rPr>
          <w:color w:val="000000"/>
          <w:sz w:val="20"/>
          <w:szCs w:val="20"/>
        </w:rPr>
        <w:t xml:space="preserve"> video, member Minnie’s portrayal of Monroe is subtly subversive. Although inspired by the iconic </w:t>
      </w:r>
      <w:r>
        <w:rPr>
          <w:i/>
          <w:iCs/>
          <w:color w:val="000000"/>
          <w:sz w:val="20"/>
          <w:szCs w:val="20"/>
        </w:rPr>
        <w:t xml:space="preserve">Diamonds Are a Girl’s Best Friend </w:t>
      </w:r>
      <w:r>
        <w:rPr>
          <w:color w:val="000000"/>
          <w:sz w:val="20"/>
          <w:szCs w:val="20"/>
        </w:rPr>
        <w:t xml:space="preserve">performance, Minnie diverges from the stereotype in significant ways. She rejects the offerings of paper heart cutouts from the surrounding men, symbolizing her refusal to accept superficial affection or material validation. Her attire, in contrast to Monroe’s revealing pink gown, is notably modest, and her posture exudes self-assuredness, with her chin raised as the camera captures her at eye level, emphasizing her empowerment and autonomy. Through this reimagined portrayal, Minnie challenges the established narrative, presenting blonde women as dignified figures who demand respect rather than simply admiration. This reinterpretation critiques the reduction of women to their physical appearances, asserting that they can embody strength and self-worth independent of male validation </w:t>
      </w:r>
      <w:r>
        <w:rPr>
          <w:color w:val="000000"/>
          <w:sz w:val="20"/>
          <w:szCs w:val="20"/>
        </w:rPr>
        <w:fldChar w:fldCharType="begin"/>
      </w:r>
      <w:r>
        <w:rPr>
          <w:color w:val="000000"/>
          <w:sz w:val="20"/>
          <w:szCs w:val="20"/>
        </w:rPr>
        <w:instrText xml:space="preserve"> ADDIN ZOTERO_ITEM CSL_CITATION {"citationID":"p8apULkV","properties":{"formattedCitation":"(Zhang et al., 2022)","plainCitation":"(Zhang et al., 2022)","noteIndex":0},"citationItems":[{"id":847,"uris":["http://zotero.org/users/local/MvyTXXMq/items/EB6UWSUN"],"itemData":{"id":847,"type":"paper-conference","event-title":"5th International Conference on Humanities Education and Social Sciences (ICHESS 202)","page":"2868-2877","publisher":"Atlantis Press","title":"Redefining Womanhood in Generation Z: An Analysis of Gender Representation and Awareness in K-pop Culture","author":[{"family":"Zhang","given":"Y."},{"family":"Chen","given":"L."},{"family":"Chen","given":"J."},{"family":"Mi","given":"X."},{"family":"Zhu","given":"S."}],"issued":{"date-parts":[["2022",12]]}}}],"schema":"https://github.com/citation-style-language/schema/raw/master/csl-citation.json"} </w:instrText>
      </w:r>
      <w:r>
        <w:rPr>
          <w:color w:val="000000"/>
          <w:sz w:val="20"/>
          <w:szCs w:val="20"/>
        </w:rPr>
        <w:fldChar w:fldCharType="separate"/>
      </w:r>
      <w:r>
        <w:rPr>
          <w:noProof/>
          <w:color w:val="000000"/>
          <w:sz w:val="20"/>
          <w:szCs w:val="20"/>
        </w:rPr>
        <w:t>(Zhang et al., 2022)</w:t>
      </w:r>
      <w:r>
        <w:rPr>
          <w:color w:val="000000"/>
          <w:sz w:val="20"/>
          <w:szCs w:val="20"/>
        </w:rPr>
        <w:fldChar w:fldCharType="end"/>
      </w:r>
      <w:r>
        <w:rPr>
          <w:color w:val="000000"/>
          <w:sz w:val="20"/>
          <w:szCs w:val="20"/>
        </w:rPr>
        <w:t xml:space="preserve">. </w:t>
      </w:r>
    </w:p>
    <w:p w14:paraId="4C270E15" w14:textId="77777777" w:rsidR="00640082" w:rsidRDefault="00640082" w:rsidP="00682B85">
      <w:pPr>
        <w:pStyle w:val="NormalWeb"/>
        <w:spacing w:before="0" w:beforeAutospacing="0" w:after="0" w:afterAutospacing="0"/>
        <w:ind w:left="1134" w:firstLine="567"/>
        <w:jc w:val="both"/>
        <w:rPr>
          <w:color w:val="000000"/>
          <w:sz w:val="20"/>
          <w:szCs w:val="20"/>
        </w:rPr>
      </w:pPr>
      <w:r>
        <w:rPr>
          <w:color w:val="000000"/>
          <w:sz w:val="20"/>
          <w:szCs w:val="20"/>
        </w:rPr>
        <w:t>The ‘</w:t>
      </w:r>
      <w:r>
        <w:rPr>
          <w:i/>
          <w:iCs/>
          <w:color w:val="000000"/>
          <w:sz w:val="20"/>
          <w:szCs w:val="20"/>
        </w:rPr>
        <w:t>dumb blonde’</w:t>
      </w:r>
      <w:r>
        <w:rPr>
          <w:color w:val="000000"/>
          <w:sz w:val="20"/>
          <w:szCs w:val="20"/>
        </w:rPr>
        <w:t xml:space="preserve"> stereotype is deeply embedded in Western mythology, often drawing parallels to figure such as Aphrodite, the Greek goddess of beauty. Aphrodite, frequently depicted with flowing golden locks and sensuous features, embodies the allure and idealized </w:t>
      </w:r>
      <w:proofErr w:type="spellStart"/>
      <w:r>
        <w:rPr>
          <w:color w:val="000000"/>
          <w:sz w:val="20"/>
          <w:szCs w:val="20"/>
        </w:rPr>
        <w:t>feminity</w:t>
      </w:r>
      <w:proofErr w:type="spellEnd"/>
      <w:r>
        <w:rPr>
          <w:color w:val="000000"/>
          <w:sz w:val="20"/>
          <w:szCs w:val="20"/>
        </w:rPr>
        <w:t xml:space="preserve"> often associated with blonde beauty standards </w:t>
      </w:r>
      <w:r>
        <w:rPr>
          <w:color w:val="000000"/>
          <w:sz w:val="20"/>
          <w:szCs w:val="20"/>
        </w:rPr>
        <w:fldChar w:fldCharType="begin"/>
      </w:r>
      <w:r>
        <w:rPr>
          <w:color w:val="000000"/>
          <w:sz w:val="20"/>
          <w:szCs w:val="20"/>
        </w:rPr>
        <w:instrText xml:space="preserve"> ADDIN ZOTERO_ITEM CSL_CITATION {"citationID":"BdzYumHC","properties":{"formattedCitation":"(Hughes, 2019)","plainCitation":"(Hughes, 2019)","noteIndex":0},"citationItems":[{"id":854,"uris":["http://zotero.org/users/local/MvyTXXMq/items/W9PC7MND"],"itemData":{"id":854,"type":"book","event-place":"London","publisher":"Hachette UK","publisher-place":"London","title":"Venus and Aphrodite: History of a Goddess","author":[{"family":"Hughes","given":"B."}],"issued":{"date-parts":[["2019"]]}}}],"schema":"https://github.com/citation-style-language/schema/raw/master/csl-citation.json"} </w:instrText>
      </w:r>
      <w:r>
        <w:rPr>
          <w:color w:val="000000"/>
          <w:sz w:val="20"/>
          <w:szCs w:val="20"/>
        </w:rPr>
        <w:fldChar w:fldCharType="separate"/>
      </w:r>
      <w:r>
        <w:rPr>
          <w:noProof/>
          <w:color w:val="000000"/>
          <w:sz w:val="20"/>
          <w:szCs w:val="20"/>
        </w:rPr>
        <w:t>(Hughes, 2019)</w:t>
      </w:r>
      <w:r>
        <w:rPr>
          <w:color w:val="000000"/>
          <w:sz w:val="20"/>
          <w:szCs w:val="20"/>
        </w:rPr>
        <w:fldChar w:fldCharType="end"/>
      </w:r>
      <w:r>
        <w:rPr>
          <w:color w:val="000000"/>
          <w:sz w:val="20"/>
          <w:szCs w:val="20"/>
        </w:rPr>
        <w:t xml:space="preserve">. Despite her divine status, Aphrodite’s character is marked by vanity and infidelity, qualities that contributed to a longstanding cultural association of blonde women with frivolity and moral ambiguity. In Ancient Greece, this idealization of beauty set a precedent that equated physical allure with value, while paradoxically diminishing the character of the individual, perpetuating standards that persist in contemporary media representations </w:t>
      </w:r>
      <w:r>
        <w:rPr>
          <w:color w:val="000000"/>
          <w:sz w:val="20"/>
          <w:szCs w:val="20"/>
        </w:rPr>
        <w:fldChar w:fldCharType="begin"/>
      </w:r>
      <w:r>
        <w:rPr>
          <w:color w:val="000000"/>
          <w:sz w:val="20"/>
          <w:szCs w:val="20"/>
        </w:rPr>
        <w:instrText xml:space="preserve"> ADDIN ZOTERO_ITEM CSL_CITATION {"citationID":"HSFxO56U","properties":{"formattedCitation":"(Romer, 2020)","plainCitation":"(Romer, 2020)","noteIndex":0},"citationItems":[{"id":855,"uris":["http://zotero.org/users/local/MvyTXXMq/items/38BFNJSW"],"itemData":{"id":855,"type":"chapter","container-title":"Studies in Ancient Philosophy, History, and Literature,","page":"183","title":"Aphrodite Φιλομμηδής and Radical Gender Differentiation in an Ethnographic Myth. Euphrosyne:","volume":"370,","author":[{"family":"Romer","given":"F."}],"editor":[{"family":"Burian","given":"P."},{"family":"Clay","given":"Jenny Strauss"},{"family":"Davis","given":"Gregson"}],"issued":{"date-parts":[["2020"]]}}}],"schema":"https://github.com/citation-style-language/schema/raw/master/csl-citation.json"} </w:instrText>
      </w:r>
      <w:r>
        <w:rPr>
          <w:color w:val="000000"/>
          <w:sz w:val="20"/>
          <w:szCs w:val="20"/>
        </w:rPr>
        <w:fldChar w:fldCharType="separate"/>
      </w:r>
      <w:r>
        <w:rPr>
          <w:noProof/>
          <w:color w:val="000000"/>
          <w:sz w:val="20"/>
          <w:szCs w:val="20"/>
        </w:rPr>
        <w:t>(Romer, 2020)</w:t>
      </w:r>
      <w:r>
        <w:rPr>
          <w:color w:val="000000"/>
          <w:sz w:val="20"/>
          <w:szCs w:val="20"/>
        </w:rPr>
        <w:fldChar w:fldCharType="end"/>
      </w:r>
      <w:r>
        <w:rPr>
          <w:color w:val="000000"/>
          <w:sz w:val="20"/>
          <w:szCs w:val="20"/>
        </w:rPr>
        <w:t>. By incorporating and challenging these historical stereotypes, (G)I-DLE’s ‘</w:t>
      </w:r>
      <w:r>
        <w:rPr>
          <w:i/>
          <w:iCs/>
          <w:color w:val="000000"/>
          <w:sz w:val="20"/>
          <w:szCs w:val="20"/>
        </w:rPr>
        <w:t>NXDE’</w:t>
      </w:r>
      <w:r>
        <w:rPr>
          <w:color w:val="000000"/>
          <w:sz w:val="20"/>
          <w:szCs w:val="20"/>
        </w:rPr>
        <w:t xml:space="preserve"> offers a critique of the objectifying narratives that have shaped societal expectations, presenting a more empowered and nuanced view of </w:t>
      </w:r>
      <w:proofErr w:type="spellStart"/>
      <w:r>
        <w:rPr>
          <w:color w:val="000000"/>
          <w:sz w:val="20"/>
          <w:szCs w:val="20"/>
        </w:rPr>
        <w:t>feminity</w:t>
      </w:r>
      <w:proofErr w:type="spellEnd"/>
      <w:r>
        <w:rPr>
          <w:color w:val="000000"/>
          <w:sz w:val="20"/>
          <w:szCs w:val="20"/>
        </w:rPr>
        <w:t xml:space="preserve">. </w:t>
      </w:r>
    </w:p>
    <w:p w14:paraId="11540FB4" w14:textId="77777777" w:rsidR="00640082" w:rsidRDefault="00640082" w:rsidP="00682B85">
      <w:pPr>
        <w:pStyle w:val="NormalWeb"/>
        <w:spacing w:before="0" w:beforeAutospacing="0" w:after="0" w:afterAutospacing="0"/>
        <w:ind w:left="1134" w:firstLine="567"/>
        <w:jc w:val="both"/>
        <w:rPr>
          <w:color w:val="000000"/>
          <w:sz w:val="20"/>
          <w:szCs w:val="20"/>
        </w:rPr>
      </w:pPr>
    </w:p>
    <w:p w14:paraId="60EB1839" w14:textId="77777777" w:rsidR="00640082" w:rsidRDefault="00640082" w:rsidP="00682B85">
      <w:pPr>
        <w:pStyle w:val="NormalWeb"/>
        <w:spacing w:before="0" w:beforeAutospacing="0" w:after="0" w:afterAutospacing="0"/>
        <w:ind w:left="1134" w:firstLine="567"/>
        <w:jc w:val="both"/>
        <w:rPr>
          <w:color w:val="000000"/>
          <w:sz w:val="20"/>
          <w:szCs w:val="20"/>
        </w:rPr>
      </w:pPr>
      <w:r w:rsidRPr="00682B85">
        <w:rPr>
          <w:bCs/>
          <w:sz w:val="20"/>
          <w:szCs w:val="20"/>
        </w:rPr>
        <w:t xml:space="preserve">According to radical feminist theorist Andrea Dworkin, the film "Gentlemen Prefer Blondes" critiques the objectification of women based solely on their appearance. </w:t>
      </w:r>
      <w:r w:rsidRPr="00682B85">
        <w:rPr>
          <w:sz w:val="20"/>
          <w:szCs w:val="20"/>
        </w:rPr>
        <w:t>The film portrays two female protagonists who are not simply "dumb blondes" as the stereotype suggests. While they may appear frivolous, they are intelligent and resourceful in navigating their circumstances.</w:t>
      </w:r>
      <w:r>
        <w:rPr>
          <w:sz w:val="20"/>
          <w:szCs w:val="20"/>
        </w:rPr>
        <w:t xml:space="preserve"> </w:t>
      </w:r>
      <w:r w:rsidRPr="00682B85">
        <w:rPr>
          <w:sz w:val="20"/>
          <w:szCs w:val="20"/>
        </w:rPr>
        <w:t>The song "Diamonds Are a Girl's Best Friend" exemplifies this critique. Minnie, a character reminiscent of Marilyn Monroe, performs an overtly sexualized dance while singing lyrics that highlight her beauty and physical attributes. These lyrics, such as "Hello, my name is beautiful, beautiful," and "The way I talk is a little stupid, but I have a sexy, sexy body," emphasize how a woman's value is primarily associated with her physical attractiveness.</w:t>
      </w:r>
      <w:r>
        <w:rPr>
          <w:sz w:val="20"/>
          <w:szCs w:val="20"/>
        </w:rPr>
        <w:t xml:space="preserve"> </w:t>
      </w:r>
      <w:r w:rsidRPr="00682B85">
        <w:rPr>
          <w:sz w:val="20"/>
          <w:szCs w:val="20"/>
        </w:rPr>
        <w:t>This portrayal satirizes how society prioritizes a woman's physical appearance over her intellect, ultimately leading to her o</w:t>
      </w:r>
      <w:r>
        <w:rPr>
          <w:sz w:val="20"/>
          <w:szCs w:val="20"/>
        </w:rPr>
        <w:t>bjectification and exploitation</w:t>
      </w:r>
    </w:p>
    <w:p w14:paraId="360D2683" w14:textId="77777777" w:rsidR="00640082" w:rsidRDefault="00640082" w:rsidP="00682B85">
      <w:pPr>
        <w:pStyle w:val="NormalWeb"/>
        <w:spacing w:before="0" w:beforeAutospacing="0" w:after="0" w:afterAutospacing="0"/>
        <w:ind w:left="1134" w:firstLine="567"/>
        <w:jc w:val="both"/>
        <w:rPr>
          <w:color w:val="000000"/>
          <w:sz w:val="20"/>
          <w:szCs w:val="20"/>
        </w:rPr>
      </w:pPr>
    </w:p>
    <w:p w14:paraId="318B4755" w14:textId="77777777" w:rsidR="00640082" w:rsidRDefault="00640082" w:rsidP="00096F92">
      <w:pPr>
        <w:pStyle w:val="NormalWeb"/>
        <w:spacing w:before="0" w:beforeAutospacing="0" w:after="0" w:afterAutospacing="0"/>
        <w:ind w:left="414" w:firstLine="306"/>
        <w:jc w:val="both"/>
        <w:rPr>
          <w:b/>
          <w:bCs/>
          <w:color w:val="000000"/>
          <w:sz w:val="20"/>
          <w:szCs w:val="20"/>
        </w:rPr>
      </w:pPr>
      <w:r>
        <w:rPr>
          <w:b/>
          <w:bCs/>
          <w:color w:val="000000"/>
          <w:sz w:val="20"/>
          <w:szCs w:val="20"/>
        </w:rPr>
        <w:t xml:space="preserve">      Scene (00:25-00:32): Sexualization, Stereotypes, and the Frustration of Objectification</w:t>
      </w:r>
    </w:p>
    <w:p w14:paraId="473C5641" w14:textId="77777777" w:rsidR="00640082" w:rsidRDefault="00640082" w:rsidP="00096F92">
      <w:pPr>
        <w:pStyle w:val="NormalWeb"/>
        <w:spacing w:before="0" w:beforeAutospacing="0" w:after="0" w:afterAutospacing="0"/>
        <w:ind w:left="1134"/>
        <w:rPr>
          <w:b/>
          <w:bCs/>
          <w:noProof/>
          <w:color w:val="000000"/>
          <w:sz w:val="20"/>
          <w:szCs w:val="20"/>
          <w14:ligatures w14:val="standardContextual"/>
        </w:rPr>
      </w:pPr>
    </w:p>
    <w:p w14:paraId="70C5D54D" w14:textId="77777777" w:rsidR="00640082" w:rsidRDefault="00640082" w:rsidP="00096F92">
      <w:pPr>
        <w:pStyle w:val="NormalWeb"/>
        <w:spacing w:before="0" w:beforeAutospacing="0" w:after="0" w:afterAutospacing="0"/>
        <w:ind w:left="1134"/>
        <w:rPr>
          <w:b/>
          <w:bCs/>
          <w:noProof/>
          <w:color w:val="000000"/>
          <w:sz w:val="20"/>
          <w:szCs w:val="20"/>
          <w14:ligatures w14:val="standardContextual"/>
        </w:rPr>
      </w:pPr>
      <w:r>
        <w:rPr>
          <w:b/>
          <w:bCs/>
          <w:noProof/>
          <w:color w:val="000000"/>
          <w:sz w:val="20"/>
          <w:szCs w:val="20"/>
          <w14:ligatures w14:val="standardContextual"/>
        </w:rPr>
        <w:drawing>
          <wp:inline distT="0" distB="0" distL="0" distR="0" wp14:anchorId="430C7D94" wp14:editId="513A6D02">
            <wp:extent cx="1794681" cy="9407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3 221959.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96442" cy="941656"/>
                    </a:xfrm>
                    <a:prstGeom prst="rect">
                      <a:avLst/>
                    </a:prstGeom>
                  </pic:spPr>
                </pic:pic>
              </a:graphicData>
            </a:graphic>
          </wp:inline>
        </w:drawing>
      </w:r>
      <w:r>
        <w:rPr>
          <w:b/>
          <w:bCs/>
          <w:noProof/>
          <w:color w:val="000000"/>
          <w:sz w:val="20"/>
          <w:szCs w:val="20"/>
          <w14:ligatures w14:val="standardContextual"/>
        </w:rPr>
        <w:t xml:space="preserve">                        </w:t>
      </w:r>
      <w:r>
        <w:rPr>
          <w:b/>
          <w:bCs/>
          <w:noProof/>
          <w:color w:val="000000"/>
          <w:sz w:val="20"/>
          <w:szCs w:val="20"/>
          <w14:ligatures w14:val="standardContextual"/>
        </w:rPr>
        <w:drawing>
          <wp:inline distT="0" distB="0" distL="0" distR="0" wp14:anchorId="4974C230" wp14:editId="1F4A8AD3">
            <wp:extent cx="1815152" cy="941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3 222026.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16933" cy="942620"/>
                    </a:xfrm>
                    <a:prstGeom prst="rect">
                      <a:avLst/>
                    </a:prstGeom>
                  </pic:spPr>
                </pic:pic>
              </a:graphicData>
            </a:graphic>
          </wp:inline>
        </w:drawing>
      </w:r>
    </w:p>
    <w:p w14:paraId="7094D512" w14:textId="77777777" w:rsidR="00640082" w:rsidRDefault="00640082" w:rsidP="00096F92">
      <w:pPr>
        <w:pStyle w:val="NormalWeb"/>
        <w:spacing w:before="0" w:beforeAutospacing="0" w:after="0" w:afterAutospacing="0"/>
        <w:ind w:left="1134"/>
        <w:rPr>
          <w:b/>
          <w:bCs/>
          <w:noProof/>
          <w:color w:val="000000"/>
          <w:sz w:val="20"/>
          <w:szCs w:val="20"/>
          <w14:ligatures w14:val="standardContextual"/>
        </w:rPr>
      </w:pPr>
    </w:p>
    <w:p w14:paraId="18BEF52C" w14:textId="77777777" w:rsidR="00640082" w:rsidRDefault="00640082" w:rsidP="00096F92">
      <w:pPr>
        <w:pStyle w:val="NormalWeb"/>
        <w:spacing w:before="0" w:beforeAutospacing="0" w:after="0" w:afterAutospacing="0"/>
        <w:ind w:left="1134"/>
        <w:rPr>
          <w:b/>
          <w:bCs/>
          <w:noProof/>
          <w:color w:val="000000"/>
          <w:sz w:val="20"/>
          <w:szCs w:val="20"/>
          <w14:ligatures w14:val="standardContextual"/>
        </w:rPr>
      </w:pPr>
      <w:r>
        <w:rPr>
          <w:b/>
          <w:bCs/>
          <w:noProof/>
          <w:color w:val="000000"/>
          <w:sz w:val="20"/>
          <w:szCs w:val="20"/>
          <w14:ligatures w14:val="standardContextual"/>
        </w:rPr>
        <w:drawing>
          <wp:inline distT="0" distB="0" distL="0" distR="0" wp14:anchorId="09BC7CE6" wp14:editId="1F103888">
            <wp:extent cx="1828800" cy="1037230"/>
            <wp:effectExtent l="0" t="0" r="0" b="0"/>
            <wp:docPr id="1041966697" name="Picture 1041966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3 222106.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30202" cy="1038025"/>
                    </a:xfrm>
                    <a:prstGeom prst="rect">
                      <a:avLst/>
                    </a:prstGeom>
                  </pic:spPr>
                </pic:pic>
              </a:graphicData>
            </a:graphic>
          </wp:inline>
        </w:drawing>
      </w:r>
      <w:r>
        <w:rPr>
          <w:b/>
          <w:bCs/>
          <w:noProof/>
          <w:color w:val="000000"/>
          <w:sz w:val="20"/>
          <w:szCs w:val="20"/>
          <w14:ligatures w14:val="standardContextual"/>
        </w:rPr>
        <w:t xml:space="preserve">                       </w:t>
      </w:r>
      <w:r>
        <w:rPr>
          <w:b/>
          <w:bCs/>
          <w:noProof/>
          <w:color w:val="000000"/>
          <w:sz w:val="20"/>
          <w:szCs w:val="20"/>
          <w14:ligatures w14:val="standardContextual"/>
        </w:rPr>
        <w:drawing>
          <wp:inline distT="0" distB="0" distL="0" distR="0" wp14:anchorId="4C557CFE" wp14:editId="06A8EFF9">
            <wp:extent cx="1815152" cy="1037229"/>
            <wp:effectExtent l="0" t="0" r="0" b="0"/>
            <wp:docPr id="778003996" name="Picture 77800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3 222204.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21427" cy="1040815"/>
                    </a:xfrm>
                    <a:prstGeom prst="rect">
                      <a:avLst/>
                    </a:prstGeom>
                  </pic:spPr>
                </pic:pic>
              </a:graphicData>
            </a:graphic>
          </wp:inline>
        </w:drawing>
      </w:r>
    </w:p>
    <w:p w14:paraId="70D06688" w14:textId="77777777" w:rsidR="00640082" w:rsidRDefault="00640082" w:rsidP="00096F92">
      <w:pPr>
        <w:pStyle w:val="NormalWeb"/>
        <w:spacing w:before="0" w:beforeAutospacing="0" w:after="0" w:afterAutospacing="0"/>
        <w:ind w:left="1134"/>
        <w:rPr>
          <w:b/>
          <w:bCs/>
          <w:noProof/>
          <w:color w:val="000000"/>
          <w:sz w:val="20"/>
          <w:szCs w:val="20"/>
          <w14:ligatures w14:val="standardContextual"/>
        </w:rPr>
      </w:pPr>
    </w:p>
    <w:p w14:paraId="05FA6F8A" w14:textId="77777777" w:rsidR="00640082" w:rsidRDefault="00640082" w:rsidP="00096F92">
      <w:pPr>
        <w:pStyle w:val="NormalWeb"/>
        <w:tabs>
          <w:tab w:val="center" w:pos="5080"/>
        </w:tabs>
        <w:spacing w:before="0" w:beforeAutospacing="0" w:after="0" w:afterAutospacing="0"/>
        <w:ind w:left="1134"/>
        <w:rPr>
          <w:b/>
          <w:bCs/>
          <w:color w:val="000000"/>
          <w:sz w:val="20"/>
          <w:szCs w:val="20"/>
        </w:rPr>
      </w:pPr>
      <w:r>
        <w:rPr>
          <w:b/>
          <w:bCs/>
          <w:color w:val="000000"/>
          <w:sz w:val="20"/>
          <w:szCs w:val="20"/>
        </w:rPr>
        <w:t xml:space="preserve">    </w:t>
      </w:r>
      <w:r>
        <w:rPr>
          <w:b/>
          <w:bCs/>
          <w:color w:val="000000"/>
          <w:sz w:val="20"/>
          <w:szCs w:val="20"/>
        </w:rPr>
        <w:tab/>
        <w:t xml:space="preserve">     </w:t>
      </w:r>
    </w:p>
    <w:p w14:paraId="7395A59F" w14:textId="77777777" w:rsidR="00640082" w:rsidRDefault="00640082" w:rsidP="000409FE">
      <w:pPr>
        <w:pStyle w:val="NormalWeb"/>
        <w:spacing w:before="0" w:beforeAutospacing="0" w:after="0" w:afterAutospacing="0"/>
        <w:ind w:left="1134" w:firstLine="567"/>
        <w:jc w:val="both"/>
        <w:rPr>
          <w:color w:val="000000"/>
          <w:sz w:val="20"/>
          <w:szCs w:val="20"/>
        </w:rPr>
      </w:pPr>
      <w:r>
        <w:rPr>
          <w:color w:val="000000"/>
          <w:sz w:val="20"/>
          <w:szCs w:val="20"/>
        </w:rPr>
        <w:t>The scene from 00:25-00:32 in (G)I-DLE’s ‘</w:t>
      </w:r>
      <w:r>
        <w:rPr>
          <w:i/>
          <w:iCs/>
          <w:color w:val="000000"/>
          <w:sz w:val="20"/>
          <w:szCs w:val="20"/>
        </w:rPr>
        <w:t>NXDE’</w:t>
      </w:r>
      <w:r>
        <w:rPr>
          <w:color w:val="000000"/>
          <w:sz w:val="20"/>
          <w:szCs w:val="20"/>
        </w:rPr>
        <w:t xml:space="preserve"> music video examines the effects of sexualization and the ‘</w:t>
      </w:r>
      <w:r>
        <w:rPr>
          <w:i/>
          <w:iCs/>
          <w:color w:val="000000"/>
          <w:sz w:val="20"/>
          <w:szCs w:val="20"/>
        </w:rPr>
        <w:t>dumb blonde’</w:t>
      </w:r>
      <w:r>
        <w:rPr>
          <w:color w:val="000000"/>
          <w:sz w:val="20"/>
          <w:szCs w:val="20"/>
        </w:rPr>
        <w:t xml:space="preserve"> stereotype, conveyed through revealing clothing and specific body language. Marilyn Monroe’s influence on film media has significantly impacted portrayals of blonde women, embedding stereotypes that persist in contemporary media. This archetype of the ‘</w:t>
      </w:r>
      <w:r>
        <w:rPr>
          <w:i/>
          <w:iCs/>
          <w:color w:val="000000"/>
          <w:sz w:val="20"/>
          <w:szCs w:val="20"/>
        </w:rPr>
        <w:t>dumb blonde’</w:t>
      </w:r>
      <w:r>
        <w:rPr>
          <w:color w:val="000000"/>
          <w:sz w:val="20"/>
          <w:szCs w:val="20"/>
        </w:rPr>
        <w:t xml:space="preserve">, often shown as shallow and materialistic, has been repeatedly represented, as seen in characters like Regina George in </w:t>
      </w:r>
      <w:r>
        <w:rPr>
          <w:i/>
          <w:iCs/>
          <w:color w:val="000000"/>
          <w:sz w:val="20"/>
          <w:szCs w:val="20"/>
        </w:rPr>
        <w:t>Mean Girls</w:t>
      </w:r>
      <w:r>
        <w:rPr>
          <w:color w:val="000000"/>
          <w:sz w:val="20"/>
          <w:szCs w:val="20"/>
        </w:rPr>
        <w:t xml:space="preserve"> (2004) and Elle Woods in </w:t>
      </w:r>
      <w:r>
        <w:rPr>
          <w:i/>
          <w:iCs/>
          <w:color w:val="000000"/>
          <w:sz w:val="20"/>
          <w:szCs w:val="20"/>
        </w:rPr>
        <w:t>Legally Blonde</w:t>
      </w:r>
      <w:r>
        <w:rPr>
          <w:color w:val="000000"/>
          <w:sz w:val="20"/>
          <w:szCs w:val="20"/>
        </w:rPr>
        <w:t xml:space="preserve"> (2001). While Elle Woods ultimately defies the stereotype by providing her intelligence, her character is initially portrayed as superficial, relying on her appearance and flirtation to navigate her challenges. These portrayals reinforce a narrative where blonde women are objectified, often seen as objects of desire who use their sexuality as a tool, thus perpetuating a cycle of reductionist stereotypes </w:t>
      </w:r>
      <w:r>
        <w:rPr>
          <w:color w:val="000000"/>
          <w:sz w:val="20"/>
          <w:szCs w:val="20"/>
        </w:rPr>
        <w:fldChar w:fldCharType="begin"/>
      </w:r>
      <w:r>
        <w:rPr>
          <w:color w:val="000000"/>
          <w:sz w:val="20"/>
          <w:szCs w:val="20"/>
        </w:rPr>
        <w:instrText xml:space="preserve"> ADDIN ZOTERO_ITEM CSL_CITATION {"citationID":"A1yz2r0S","properties":{"formattedCitation":"(Handzo, 2019; Lee et al., 2024)","plainCitation":"(Handzo, 2019; Lee et al., 2024)","noteIndex":0},"citationItems":[{"id":857,"uris":["http://zotero.org/users/local/MvyTXXMq/items/ABJ65482"],"itemData":{"id":857,"type":"book","event-place":"Jefferson, North Carolina","publisher":"McFarland","publisher-place":"Jefferson, North Carolina","title":"Hollywood and the Female Body: A History of Idolization and Objectification.","author":[{"family":"Handzo","given":"S."}],"issued":{"date-parts":[["2019"]]}}},{"id":856,"uris":["http://zotero.org/users/local/MvyTXXMq/items/65ZWH4H7"],"itemData":{"id":856,"type":"article-journal","container-title":"Boanerges: Makarios Education Journa","title":"Challenging the'Dumb Blonde'Stereotype: A Feminist and Intersectional Analysis of Gender and Professionalism in Legally Blonde (2001) Movie.","volume":"96","author":[{"family":"Lee","given":"G. L."},{"family":"Sabuin","given":"K. J. M."},{"family":"Manullang","given":"P. P."},{"family":"Hutagalung","given":"R. C. A."}],"issued":{"date-parts":[["2024"]]}}}],"schema":"https://github.com/citation-style-language/schema/raw/master/csl-citation.json"} </w:instrText>
      </w:r>
      <w:r>
        <w:rPr>
          <w:color w:val="000000"/>
          <w:sz w:val="20"/>
          <w:szCs w:val="20"/>
        </w:rPr>
        <w:fldChar w:fldCharType="separate"/>
      </w:r>
      <w:r>
        <w:rPr>
          <w:noProof/>
          <w:color w:val="000000"/>
          <w:sz w:val="20"/>
          <w:szCs w:val="20"/>
        </w:rPr>
        <w:t>(Handzo, 2019; Lee et al., 2024)</w:t>
      </w:r>
      <w:r>
        <w:rPr>
          <w:color w:val="000000"/>
          <w:sz w:val="20"/>
          <w:szCs w:val="20"/>
        </w:rPr>
        <w:fldChar w:fldCharType="end"/>
      </w:r>
      <w:r>
        <w:rPr>
          <w:color w:val="000000"/>
          <w:sz w:val="20"/>
          <w:szCs w:val="20"/>
        </w:rPr>
        <w:t xml:space="preserve">. </w:t>
      </w:r>
    </w:p>
    <w:p w14:paraId="4EFFB035" w14:textId="77777777" w:rsidR="00640082" w:rsidRDefault="00640082" w:rsidP="000409FE">
      <w:pPr>
        <w:pStyle w:val="NormalWeb"/>
        <w:spacing w:before="0" w:beforeAutospacing="0" w:after="0" w:afterAutospacing="0"/>
        <w:ind w:left="1134" w:firstLine="567"/>
        <w:jc w:val="both"/>
        <w:rPr>
          <w:color w:val="000000"/>
          <w:sz w:val="20"/>
          <w:szCs w:val="20"/>
        </w:rPr>
      </w:pPr>
      <w:r>
        <w:rPr>
          <w:color w:val="000000"/>
          <w:sz w:val="20"/>
          <w:szCs w:val="20"/>
        </w:rPr>
        <w:t>In the ‘</w:t>
      </w:r>
      <w:r>
        <w:rPr>
          <w:i/>
          <w:iCs/>
          <w:color w:val="000000"/>
          <w:sz w:val="20"/>
          <w:szCs w:val="20"/>
        </w:rPr>
        <w:t>NXDE’</w:t>
      </w:r>
      <w:r>
        <w:rPr>
          <w:color w:val="000000"/>
          <w:sz w:val="20"/>
          <w:szCs w:val="20"/>
        </w:rPr>
        <w:t xml:space="preserve"> scene, </w:t>
      </w:r>
      <w:proofErr w:type="spellStart"/>
      <w:r>
        <w:rPr>
          <w:color w:val="000000"/>
          <w:sz w:val="20"/>
          <w:szCs w:val="20"/>
        </w:rPr>
        <w:t>Soyeon</w:t>
      </w:r>
      <w:proofErr w:type="spellEnd"/>
      <w:r>
        <w:rPr>
          <w:color w:val="000000"/>
          <w:sz w:val="20"/>
          <w:szCs w:val="20"/>
        </w:rPr>
        <w:t xml:space="preserve"> expresses frustration with these narrow representations of blonde women. She interacts with newspapers featuring positive coverage about blonde women, only to tear them apart in exasperation, signifying her rejection of superficial portrayals and society’s obsession with appearances. Intriguingly, an animated, provocatively dressed woman in red also appears in this scene, highlighting the historical connection between red attire and symbolic power. In Korean mythology, red is a sacred color often associated with royal attire, indicating authority and strength </w:t>
      </w:r>
      <w:r>
        <w:rPr>
          <w:color w:val="000000"/>
          <w:sz w:val="20"/>
          <w:szCs w:val="20"/>
        </w:rPr>
        <w:fldChar w:fldCharType="begin"/>
      </w:r>
      <w:r>
        <w:rPr>
          <w:color w:val="000000"/>
          <w:sz w:val="20"/>
          <w:szCs w:val="20"/>
        </w:rPr>
        <w:instrText xml:space="preserve"> ADDIN ZOTERO_ITEM CSL_CITATION {"citationID":"VI1IGcCM","properties":{"formattedCitation":"(Hall, 2018)","plainCitation":"(Hall, 2018)","noteIndex":0},"citationItems":[{"id":858,"uris":["http://zotero.org/users/local/MvyTXXMq/items/I94A8D6N"],"itemData":{"id":858,"type":"book","event-place":"New York","publisher":"Routledge","publisher-place":"New York","title":"Illustrated dictionary of symbols in Eastern and Western art.","author":[{"family":"Hall","given":"J."}],"issued":{"date-parts":[["2018"]]}}}],"schema":"https://github.com/citation-style-language/schema/raw/master/csl-citation.json"} </w:instrText>
      </w:r>
      <w:r>
        <w:rPr>
          <w:color w:val="000000"/>
          <w:sz w:val="20"/>
          <w:szCs w:val="20"/>
        </w:rPr>
        <w:fldChar w:fldCharType="separate"/>
      </w:r>
      <w:r>
        <w:rPr>
          <w:noProof/>
          <w:color w:val="000000"/>
          <w:sz w:val="20"/>
          <w:szCs w:val="20"/>
        </w:rPr>
        <w:t>(Hall, 2018)</w:t>
      </w:r>
      <w:r>
        <w:rPr>
          <w:color w:val="000000"/>
          <w:sz w:val="20"/>
          <w:szCs w:val="20"/>
        </w:rPr>
        <w:fldChar w:fldCharType="end"/>
      </w:r>
      <w:r>
        <w:rPr>
          <w:color w:val="000000"/>
          <w:sz w:val="20"/>
          <w:szCs w:val="20"/>
        </w:rPr>
        <w:t xml:space="preserve">. The choice to feature red in this context may symbolize </w:t>
      </w:r>
      <w:proofErr w:type="spellStart"/>
      <w:r>
        <w:rPr>
          <w:color w:val="000000"/>
          <w:sz w:val="20"/>
          <w:szCs w:val="20"/>
        </w:rPr>
        <w:t>Soyeon’s</w:t>
      </w:r>
      <w:proofErr w:type="spellEnd"/>
      <w:r>
        <w:rPr>
          <w:color w:val="000000"/>
          <w:sz w:val="20"/>
          <w:szCs w:val="20"/>
        </w:rPr>
        <w:t xml:space="preserve"> resistance to objectification and reclaiming of agency amidst societal pressures to conform to reductive gender roles. </w:t>
      </w:r>
    </w:p>
    <w:p w14:paraId="4217CD60" w14:textId="77777777" w:rsidR="00640082" w:rsidRDefault="00640082" w:rsidP="00682B85">
      <w:pPr>
        <w:pStyle w:val="NormalWeb"/>
        <w:spacing w:before="0" w:beforeAutospacing="0" w:after="0" w:afterAutospacing="0"/>
        <w:ind w:left="1134" w:firstLine="567"/>
        <w:jc w:val="both"/>
        <w:rPr>
          <w:color w:val="000000"/>
          <w:sz w:val="20"/>
          <w:szCs w:val="20"/>
        </w:rPr>
      </w:pPr>
      <w:r>
        <w:rPr>
          <w:color w:val="000000"/>
          <w:sz w:val="20"/>
          <w:szCs w:val="20"/>
        </w:rPr>
        <w:t>Furthermore, the persistent ‘</w:t>
      </w:r>
      <w:r>
        <w:rPr>
          <w:i/>
          <w:iCs/>
          <w:color w:val="000000"/>
          <w:sz w:val="20"/>
          <w:szCs w:val="20"/>
        </w:rPr>
        <w:t>dumb blonde’</w:t>
      </w:r>
      <w:r>
        <w:rPr>
          <w:color w:val="000000"/>
          <w:sz w:val="20"/>
          <w:szCs w:val="20"/>
        </w:rPr>
        <w:t xml:space="preserve"> stereotype reflects misconceptions about intelligence, with theories historically suggesting that blonde individuals absorb Vitamin D less efficiently, thereby impacting cognitive development. However, recent studies, such as those written by </w:t>
      </w:r>
      <w:r>
        <w:rPr>
          <w:color w:val="000000"/>
          <w:sz w:val="20"/>
          <w:szCs w:val="20"/>
        </w:rPr>
        <w:fldChar w:fldCharType="begin"/>
      </w:r>
      <w:r>
        <w:rPr>
          <w:color w:val="000000"/>
          <w:sz w:val="20"/>
          <w:szCs w:val="20"/>
        </w:rPr>
        <w:instrText xml:space="preserve"> ADDIN ZOTERO_ITEM CSL_CITATION {"citationID":"WbcAgvBr","properties":{"formattedCitation":"(Corcos, 2016)","plainCitation":"(Corcos, 2016)","noteIndex":0},"citationItems":[{"id":859,"uris":["http://zotero.org/users/local/MvyTXXMq/items/FVBTIPJK"],"itemData":{"id":859,"type":"book","publisher":"Wheatmark, Inc.","title":"The myth of human races.","author":[{"family":"Corcos","given":"A. F."}],"issued":{"date-parts":[["2016"]]}}}],"schema":"https://github.com/citation-style-language/schema/raw/master/csl-citation.json"} </w:instrText>
      </w:r>
      <w:r>
        <w:rPr>
          <w:color w:val="000000"/>
          <w:sz w:val="20"/>
          <w:szCs w:val="20"/>
        </w:rPr>
        <w:fldChar w:fldCharType="separate"/>
      </w:r>
      <w:r>
        <w:rPr>
          <w:noProof/>
          <w:color w:val="000000"/>
          <w:sz w:val="20"/>
          <w:szCs w:val="20"/>
        </w:rPr>
        <w:t>(Corcos, 2016)</w:t>
      </w:r>
      <w:r>
        <w:rPr>
          <w:color w:val="000000"/>
          <w:sz w:val="20"/>
          <w:szCs w:val="20"/>
        </w:rPr>
        <w:fldChar w:fldCharType="end"/>
      </w:r>
      <w:r>
        <w:rPr>
          <w:color w:val="000000"/>
          <w:sz w:val="20"/>
          <w:szCs w:val="20"/>
        </w:rPr>
        <w:t>, debunk these claims, revealing that individuals with blonde hair have comparable IQ levels to those with darker hair colors. This scene, therefore, critiques the flawed scientific and cultural myths that have perpetuated these biases. By challenging these stereotypes, the ‘</w:t>
      </w:r>
      <w:r>
        <w:rPr>
          <w:i/>
          <w:iCs/>
          <w:color w:val="000000"/>
          <w:sz w:val="20"/>
          <w:szCs w:val="20"/>
        </w:rPr>
        <w:t>NXDE’</w:t>
      </w:r>
      <w:r>
        <w:rPr>
          <w:color w:val="000000"/>
          <w:sz w:val="20"/>
          <w:szCs w:val="20"/>
        </w:rPr>
        <w:t xml:space="preserve"> video not only confronts the problematic sexualization of women in media but also brings awareness to the normalization of gender-based objectification and its potential contributions to wider societal issues, such as gender-based violence. </w:t>
      </w:r>
    </w:p>
    <w:p w14:paraId="262EB9D6" w14:textId="77777777" w:rsidR="00640082" w:rsidRDefault="00640082" w:rsidP="00682B85">
      <w:pPr>
        <w:pStyle w:val="NormalWeb"/>
        <w:spacing w:before="0" w:beforeAutospacing="0" w:after="0" w:afterAutospacing="0"/>
        <w:ind w:left="1134" w:firstLine="567"/>
        <w:jc w:val="both"/>
        <w:rPr>
          <w:color w:val="000000"/>
          <w:sz w:val="20"/>
          <w:szCs w:val="20"/>
        </w:rPr>
      </w:pPr>
      <w:r w:rsidRPr="00682B85">
        <w:rPr>
          <w:color w:val="000000"/>
          <w:sz w:val="20"/>
          <w:szCs w:val="20"/>
        </w:rPr>
        <w:t xml:space="preserve">Based on Andrea Dworkins point 6 about how women get </w:t>
      </w:r>
      <w:proofErr w:type="spellStart"/>
      <w:r w:rsidRPr="00682B85">
        <w:rPr>
          <w:color w:val="000000"/>
          <w:sz w:val="20"/>
          <w:szCs w:val="20"/>
        </w:rPr>
        <w:t>erease</w:t>
      </w:r>
      <w:proofErr w:type="spellEnd"/>
      <w:r w:rsidRPr="00682B85">
        <w:rPr>
          <w:color w:val="000000"/>
          <w:sz w:val="20"/>
          <w:szCs w:val="20"/>
        </w:rPr>
        <w:t xml:space="preserve"> as individual </w:t>
      </w:r>
      <w:r w:rsidRPr="00682B85">
        <w:rPr>
          <w:rStyle w:val="Strong"/>
          <w:rFonts w:eastAsiaTheme="majorEastAsia"/>
          <w:b w:val="0"/>
          <w:sz w:val="20"/>
          <w:szCs w:val="20"/>
        </w:rPr>
        <w:t xml:space="preserve">The music video "NXDE" criticizes how society </w:t>
      </w:r>
      <w:proofErr w:type="gramStart"/>
      <w:r w:rsidRPr="00682B85">
        <w:rPr>
          <w:rStyle w:val="Strong"/>
          <w:rFonts w:eastAsiaTheme="majorEastAsia"/>
          <w:b w:val="0"/>
          <w:sz w:val="20"/>
          <w:szCs w:val="20"/>
        </w:rPr>
        <w:t>judges</w:t>
      </w:r>
      <w:proofErr w:type="gramEnd"/>
      <w:r w:rsidRPr="00682B85">
        <w:rPr>
          <w:rStyle w:val="Strong"/>
          <w:rFonts w:eastAsiaTheme="majorEastAsia"/>
          <w:b w:val="0"/>
          <w:sz w:val="20"/>
          <w:szCs w:val="20"/>
        </w:rPr>
        <w:t xml:space="preserve"> women solely on their looks, ignoring their personality, character, and achievements.</w:t>
      </w:r>
      <w:r w:rsidRPr="00682B85">
        <w:rPr>
          <w:sz w:val="20"/>
          <w:szCs w:val="20"/>
        </w:rPr>
        <w:t xml:space="preserve"> This superficial judgment reduces women to mere objects and erases their </w:t>
      </w:r>
      <w:proofErr w:type="spellStart"/>
      <w:proofErr w:type="gramStart"/>
      <w:r w:rsidRPr="00682B85">
        <w:rPr>
          <w:sz w:val="20"/>
          <w:szCs w:val="20"/>
        </w:rPr>
        <w:t>individuality.</w:t>
      </w:r>
      <w:r w:rsidRPr="00682B85">
        <w:rPr>
          <w:rStyle w:val="Strong"/>
          <w:rFonts w:eastAsiaTheme="majorEastAsia"/>
          <w:b w:val="0"/>
          <w:sz w:val="20"/>
          <w:szCs w:val="20"/>
        </w:rPr>
        <w:t>Marilyn</w:t>
      </w:r>
      <w:proofErr w:type="spellEnd"/>
      <w:proofErr w:type="gramEnd"/>
      <w:r w:rsidRPr="00682B85">
        <w:rPr>
          <w:rStyle w:val="Strong"/>
          <w:rFonts w:eastAsiaTheme="majorEastAsia"/>
          <w:b w:val="0"/>
          <w:sz w:val="20"/>
          <w:szCs w:val="20"/>
        </w:rPr>
        <w:t xml:space="preserve"> Monroe exemplifies this issue</w:t>
      </w:r>
      <w:r w:rsidRPr="00682B85">
        <w:rPr>
          <w:rStyle w:val="Strong"/>
          <w:rFonts w:eastAsiaTheme="majorEastAsia"/>
          <w:sz w:val="20"/>
          <w:szCs w:val="20"/>
        </w:rPr>
        <w:t>.</w:t>
      </w:r>
      <w:r w:rsidRPr="00682B85">
        <w:rPr>
          <w:sz w:val="20"/>
          <w:szCs w:val="20"/>
        </w:rPr>
        <w:t xml:space="preserve"> Despite her acting talent, awards, and influence in Hollywood, she's primarily remembered for her looks – the "dumb blonde," "cheap," and "sexy" stereotype fueled by her characters and personal life.</w:t>
      </w:r>
      <w:r w:rsidRPr="00682B85">
        <w:rPr>
          <w:color w:val="000000"/>
          <w:sz w:val="20"/>
          <w:szCs w:val="20"/>
        </w:rPr>
        <w:t xml:space="preserve"> </w:t>
      </w:r>
      <w:r w:rsidRPr="00682B85">
        <w:rPr>
          <w:rStyle w:val="Strong"/>
          <w:rFonts w:eastAsiaTheme="majorEastAsia"/>
          <w:b w:val="0"/>
          <w:sz w:val="20"/>
          <w:szCs w:val="20"/>
        </w:rPr>
        <w:t>A good first impression is important, but true judgment should consider a person's whole self – their mind, personality, and nature.</w:t>
      </w:r>
      <w:r w:rsidRPr="00682B85">
        <w:rPr>
          <w:sz w:val="20"/>
          <w:szCs w:val="20"/>
        </w:rPr>
        <w:t xml:space="preserve"> The stereotype that blondes are unintelligent and promiscuous is demonstrably false, as studies like the one by "The Conversation" (</w:t>
      </w:r>
      <w:hyperlink r:id="rId82" w:tgtFrame="_blank" w:history="1">
        <w:r w:rsidRPr="00682B85">
          <w:rPr>
            <w:rStyle w:val="Hyperlink"/>
            <w:rFonts w:eastAsia="Calibri"/>
            <w:sz w:val="20"/>
            <w:szCs w:val="20"/>
          </w:rPr>
          <w:t>https://theconversation.com/are-blondes-actually-dumb56560</w:t>
        </w:r>
      </w:hyperlink>
      <w:r w:rsidRPr="00682B85">
        <w:rPr>
          <w:sz w:val="20"/>
          <w:szCs w:val="20"/>
        </w:rPr>
        <w:t>) have shown.</w:t>
      </w:r>
    </w:p>
    <w:p w14:paraId="699C180A" w14:textId="77777777" w:rsidR="00640082" w:rsidRDefault="00640082" w:rsidP="000409FE">
      <w:pPr>
        <w:pStyle w:val="NormalWeb"/>
        <w:spacing w:before="0" w:beforeAutospacing="0" w:after="0" w:afterAutospacing="0"/>
        <w:ind w:left="1134" w:firstLine="567"/>
        <w:jc w:val="both"/>
        <w:rPr>
          <w:color w:val="000000"/>
          <w:sz w:val="20"/>
          <w:szCs w:val="20"/>
        </w:rPr>
      </w:pPr>
    </w:p>
    <w:p w14:paraId="2453148C" w14:textId="77777777" w:rsidR="00640082" w:rsidRDefault="00640082" w:rsidP="000409FE">
      <w:pPr>
        <w:pStyle w:val="NormalWeb"/>
        <w:spacing w:before="0" w:beforeAutospacing="0" w:after="0" w:afterAutospacing="0"/>
        <w:ind w:left="1134"/>
        <w:jc w:val="both"/>
        <w:rPr>
          <w:b/>
          <w:bCs/>
          <w:color w:val="000000"/>
          <w:sz w:val="20"/>
          <w:szCs w:val="20"/>
        </w:rPr>
      </w:pPr>
      <w:r>
        <w:rPr>
          <w:b/>
          <w:bCs/>
          <w:color w:val="000000"/>
          <w:sz w:val="20"/>
          <w:szCs w:val="20"/>
        </w:rPr>
        <w:t>Scene (02:13-02:22): Women as Commodities and Public Spectacles</w:t>
      </w:r>
    </w:p>
    <w:p w14:paraId="2247FB54" w14:textId="77777777" w:rsidR="00640082" w:rsidRDefault="00640082" w:rsidP="000409FE">
      <w:pPr>
        <w:pStyle w:val="NormalWeb"/>
        <w:spacing w:before="0" w:beforeAutospacing="0" w:after="0" w:afterAutospacing="0"/>
        <w:ind w:left="1134"/>
        <w:jc w:val="both"/>
        <w:rPr>
          <w:b/>
          <w:bCs/>
          <w:color w:val="000000"/>
          <w:sz w:val="20"/>
          <w:szCs w:val="20"/>
        </w:rPr>
      </w:pPr>
    </w:p>
    <w:p w14:paraId="3E818F65" w14:textId="77777777" w:rsidR="00640082" w:rsidRDefault="00640082" w:rsidP="000409FE">
      <w:pPr>
        <w:pStyle w:val="NormalWeb"/>
        <w:spacing w:before="0" w:beforeAutospacing="0" w:after="0" w:afterAutospacing="0"/>
        <w:ind w:left="1134"/>
        <w:jc w:val="both"/>
        <w:rPr>
          <w:b/>
          <w:bCs/>
          <w:color w:val="000000"/>
          <w:sz w:val="20"/>
          <w:szCs w:val="20"/>
        </w:rPr>
      </w:pPr>
      <w:r>
        <w:rPr>
          <w:b/>
          <w:bCs/>
          <w:noProof/>
          <w:color w:val="000000"/>
          <w:sz w:val="20"/>
          <w:szCs w:val="20"/>
          <w14:ligatures w14:val="standardContextual"/>
        </w:rPr>
        <w:drawing>
          <wp:inline distT="0" distB="0" distL="0" distR="0" wp14:anchorId="1A0AD2D0" wp14:editId="2C46479C">
            <wp:extent cx="2115403" cy="1026062"/>
            <wp:effectExtent l="0" t="0" r="0" b="3175"/>
            <wp:docPr id="439300618" name="Picture 4393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7 143711.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20698" cy="1028630"/>
                    </a:xfrm>
                    <a:prstGeom prst="rect">
                      <a:avLst/>
                    </a:prstGeom>
                  </pic:spPr>
                </pic:pic>
              </a:graphicData>
            </a:graphic>
          </wp:inline>
        </w:drawing>
      </w:r>
      <w:r>
        <w:rPr>
          <w:b/>
          <w:bCs/>
          <w:color w:val="000000"/>
          <w:sz w:val="20"/>
          <w:szCs w:val="20"/>
        </w:rPr>
        <w:t xml:space="preserve">        </w:t>
      </w:r>
      <w:r>
        <w:rPr>
          <w:b/>
          <w:bCs/>
          <w:noProof/>
          <w:color w:val="000000"/>
          <w:sz w:val="20"/>
          <w:szCs w:val="20"/>
          <w14:ligatures w14:val="standardContextual"/>
        </w:rPr>
        <w:drawing>
          <wp:inline distT="0" distB="0" distL="0" distR="0" wp14:anchorId="1F36018B" wp14:editId="75E5EB1D">
            <wp:extent cx="2135875" cy="1023582"/>
            <wp:effectExtent l="0" t="0" r="0" b="5715"/>
            <wp:docPr id="391544069" name="Picture 39154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7 131457.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35671" cy="1023484"/>
                    </a:xfrm>
                    <a:prstGeom prst="rect">
                      <a:avLst/>
                    </a:prstGeom>
                  </pic:spPr>
                </pic:pic>
              </a:graphicData>
            </a:graphic>
          </wp:inline>
        </w:drawing>
      </w:r>
    </w:p>
    <w:p w14:paraId="0B66F348" w14:textId="77777777" w:rsidR="00640082" w:rsidRDefault="00640082" w:rsidP="000409FE">
      <w:pPr>
        <w:pStyle w:val="NormalWeb"/>
        <w:spacing w:before="0" w:beforeAutospacing="0" w:after="0" w:afterAutospacing="0"/>
        <w:ind w:left="1134"/>
        <w:jc w:val="both"/>
        <w:rPr>
          <w:b/>
          <w:bCs/>
          <w:color w:val="000000"/>
          <w:sz w:val="20"/>
          <w:szCs w:val="20"/>
        </w:rPr>
      </w:pPr>
    </w:p>
    <w:p w14:paraId="078FBF9E" w14:textId="77777777" w:rsidR="00640082" w:rsidRDefault="00640082" w:rsidP="000409FE">
      <w:pPr>
        <w:pStyle w:val="NormalWeb"/>
        <w:spacing w:before="0" w:beforeAutospacing="0" w:after="0" w:afterAutospacing="0"/>
        <w:ind w:left="1134"/>
        <w:jc w:val="both"/>
        <w:rPr>
          <w:b/>
          <w:bCs/>
          <w:color w:val="000000"/>
          <w:sz w:val="20"/>
          <w:szCs w:val="20"/>
        </w:rPr>
      </w:pPr>
      <w:r>
        <w:rPr>
          <w:b/>
          <w:bCs/>
          <w:noProof/>
          <w:color w:val="000000"/>
          <w:sz w:val="20"/>
          <w:szCs w:val="20"/>
          <w14:ligatures w14:val="standardContextual"/>
        </w:rPr>
        <w:drawing>
          <wp:inline distT="0" distB="0" distL="0" distR="0" wp14:anchorId="1079AB87" wp14:editId="26B6146A">
            <wp:extent cx="2115403" cy="1078173"/>
            <wp:effectExtent l="0" t="0" r="0" b="8255"/>
            <wp:docPr id="863076612" name="Picture 86307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7 143735.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16777" cy="1078873"/>
                    </a:xfrm>
                    <a:prstGeom prst="rect">
                      <a:avLst/>
                    </a:prstGeom>
                  </pic:spPr>
                </pic:pic>
              </a:graphicData>
            </a:graphic>
          </wp:inline>
        </w:drawing>
      </w:r>
      <w:r>
        <w:rPr>
          <w:b/>
          <w:bCs/>
          <w:color w:val="000000"/>
          <w:sz w:val="20"/>
          <w:szCs w:val="20"/>
        </w:rPr>
        <w:t xml:space="preserve">        </w:t>
      </w:r>
      <w:r>
        <w:rPr>
          <w:b/>
          <w:bCs/>
          <w:noProof/>
          <w:color w:val="000000"/>
          <w:sz w:val="20"/>
          <w:szCs w:val="20"/>
          <w14:ligatures w14:val="standardContextual"/>
        </w:rPr>
        <w:drawing>
          <wp:inline distT="0" distB="0" distL="0" distR="0" wp14:anchorId="3239ED17" wp14:editId="7349693D">
            <wp:extent cx="2169994" cy="1091821"/>
            <wp:effectExtent l="0" t="0" r="1905" b="0"/>
            <wp:docPr id="1715895022" name="Picture 171589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7 131528.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78836" cy="1096270"/>
                    </a:xfrm>
                    <a:prstGeom prst="rect">
                      <a:avLst/>
                    </a:prstGeom>
                  </pic:spPr>
                </pic:pic>
              </a:graphicData>
            </a:graphic>
          </wp:inline>
        </w:drawing>
      </w:r>
    </w:p>
    <w:p w14:paraId="30B6B531" w14:textId="77777777" w:rsidR="00640082" w:rsidRDefault="00640082" w:rsidP="000409FE">
      <w:pPr>
        <w:pStyle w:val="NormalWeb"/>
        <w:spacing w:before="0" w:beforeAutospacing="0" w:after="0" w:afterAutospacing="0"/>
        <w:ind w:left="1134"/>
        <w:jc w:val="both"/>
        <w:rPr>
          <w:b/>
          <w:bCs/>
          <w:color w:val="000000"/>
          <w:sz w:val="20"/>
          <w:szCs w:val="20"/>
        </w:rPr>
      </w:pPr>
    </w:p>
    <w:p w14:paraId="6C51D364" w14:textId="77777777" w:rsidR="00640082" w:rsidRDefault="00640082" w:rsidP="000409FE">
      <w:pPr>
        <w:pStyle w:val="NormalWeb"/>
        <w:spacing w:before="0" w:beforeAutospacing="0" w:after="0" w:afterAutospacing="0"/>
        <w:ind w:left="1134" w:firstLine="567"/>
        <w:jc w:val="both"/>
        <w:rPr>
          <w:color w:val="000000"/>
          <w:sz w:val="20"/>
          <w:szCs w:val="20"/>
        </w:rPr>
      </w:pPr>
      <w:r>
        <w:rPr>
          <w:color w:val="000000"/>
          <w:sz w:val="20"/>
          <w:szCs w:val="20"/>
        </w:rPr>
        <w:t xml:space="preserve">In the scene from 02:13 to 02:22 of (G)I-DLE’s music video, the portrayal of Shuhua atop a pedestal symbolizes the objectification of women as commodities and public spectacles. This imagery reflects how societal norms reduce women to mere objects of display, silencing their individuality and rendering them passive under the scrutiny of the public eye. Shuhua dances gracefully on a pillar, much like an artifact in a museum, while the crowd continuously photographs her without regard for her autonomy. Her stillness and lack of resistance to the endless attention underscore the feeling of helplessness that comes with objectification, where women are often expected to conform to external expectations without asserting their own agency </w:t>
      </w:r>
      <w:r>
        <w:rPr>
          <w:color w:val="000000"/>
          <w:sz w:val="20"/>
          <w:szCs w:val="20"/>
        </w:rPr>
        <w:fldChar w:fldCharType="begin"/>
      </w:r>
      <w:r>
        <w:rPr>
          <w:color w:val="000000"/>
          <w:sz w:val="20"/>
          <w:szCs w:val="20"/>
        </w:rPr>
        <w:instrText xml:space="preserve"> ADDIN ZOTERO_ITEM CSL_CITATION {"citationID":"RB4suUYy","properties":{"formattedCitation":"(Zhang et al., 2022)","plainCitation":"(Zhang et al., 2022)","noteIndex":0},"citationItems":[{"id":847,"uris":["http://zotero.org/users/local/MvyTXXMq/items/EB6UWSUN"],"itemData":{"id":847,"type":"paper-conference","event-title":"5th International Conference on Humanities Education and Social Sciences (ICHESS 202)","page":"2868-2877","publisher":"Atlantis Press","title":"Redefining Womanhood in Generation Z: An Analysis of Gender Representation and Awareness in K-pop Culture","author":[{"family":"Zhang","given":"Y."},{"family":"Chen","given":"L."},{"family":"Chen","given":"J."},{"family":"Mi","given":"X."},{"family":"Zhu","given":"S."}],"issued":{"date-parts":[["2022",12]]}}}],"schema":"https://github.com/citation-style-language/schema/raw/master/csl-citation.json"} </w:instrText>
      </w:r>
      <w:r>
        <w:rPr>
          <w:color w:val="000000"/>
          <w:sz w:val="20"/>
          <w:szCs w:val="20"/>
        </w:rPr>
        <w:fldChar w:fldCharType="separate"/>
      </w:r>
      <w:r>
        <w:rPr>
          <w:noProof/>
          <w:color w:val="000000"/>
          <w:sz w:val="20"/>
          <w:szCs w:val="20"/>
        </w:rPr>
        <w:t>(Zhang et al., 2022)</w:t>
      </w:r>
      <w:r>
        <w:rPr>
          <w:color w:val="000000"/>
          <w:sz w:val="20"/>
          <w:szCs w:val="20"/>
        </w:rPr>
        <w:fldChar w:fldCharType="end"/>
      </w:r>
      <w:r>
        <w:rPr>
          <w:color w:val="000000"/>
          <w:sz w:val="20"/>
          <w:szCs w:val="20"/>
        </w:rPr>
        <w:t xml:space="preserve">. This visual metaphor powerfully critiques the societal impulse to control and commodify women’s identifies, highlighting the damaging impact of being persistently positioned as objects for public consumption </w:t>
      </w:r>
      <w:r>
        <w:rPr>
          <w:color w:val="000000"/>
          <w:sz w:val="20"/>
          <w:szCs w:val="20"/>
        </w:rPr>
        <w:fldChar w:fldCharType="begin"/>
      </w:r>
      <w:r>
        <w:rPr>
          <w:color w:val="000000"/>
          <w:sz w:val="20"/>
          <w:szCs w:val="20"/>
        </w:rPr>
        <w:instrText xml:space="preserve"> ADDIN ZOTERO_ITEM CSL_CITATION {"citationID":"dTO46ykX","properties":{"formattedCitation":"(Mikkola, 2016)","plainCitation":"(Mikkola, 2016)","noteIndex":0},"citationItems":[{"id":860,"uris":["http://zotero.org/users/local/MvyTXXMq/items/E3Q27K67"],"itemData":{"id":860,"type":"book","event-place":"New York","publisher":"Oxford University Press","publisher-place":"New York","title":"The wrong of injustice: Dehumanization and its role in feminist philosophy.","author":[{"family":"Mikkola","given":"M."}],"issued":{"date-parts":[["2016"]]}}}],"schema":"https://github.com/citation-style-language/schema/raw/master/csl-citation.json"} </w:instrText>
      </w:r>
      <w:r>
        <w:rPr>
          <w:color w:val="000000"/>
          <w:sz w:val="20"/>
          <w:szCs w:val="20"/>
        </w:rPr>
        <w:fldChar w:fldCharType="separate"/>
      </w:r>
      <w:r>
        <w:rPr>
          <w:noProof/>
          <w:color w:val="000000"/>
          <w:sz w:val="20"/>
          <w:szCs w:val="20"/>
        </w:rPr>
        <w:t>(Mikkola, 2016)</w:t>
      </w:r>
      <w:r>
        <w:rPr>
          <w:color w:val="000000"/>
          <w:sz w:val="20"/>
          <w:szCs w:val="20"/>
        </w:rPr>
        <w:fldChar w:fldCharType="end"/>
      </w:r>
      <w:r>
        <w:rPr>
          <w:color w:val="000000"/>
          <w:sz w:val="20"/>
          <w:szCs w:val="20"/>
        </w:rPr>
        <w:t xml:space="preserve">. </w:t>
      </w:r>
    </w:p>
    <w:p w14:paraId="1A27A52E" w14:textId="77777777" w:rsidR="00640082" w:rsidRDefault="00640082" w:rsidP="000409FE">
      <w:pPr>
        <w:pStyle w:val="NormalWeb"/>
        <w:spacing w:before="0" w:beforeAutospacing="0" w:after="0" w:afterAutospacing="0"/>
        <w:ind w:left="1134" w:firstLine="567"/>
        <w:jc w:val="both"/>
        <w:rPr>
          <w:color w:val="000000"/>
          <w:sz w:val="20"/>
          <w:szCs w:val="20"/>
        </w:rPr>
      </w:pPr>
      <w:r>
        <w:rPr>
          <w:color w:val="000000"/>
          <w:sz w:val="20"/>
          <w:szCs w:val="20"/>
        </w:rPr>
        <w:t xml:space="preserve">Adding depth to this commentary, the scene includes two paintings that further emphasize themes of objectification: </w:t>
      </w:r>
      <w:r>
        <w:rPr>
          <w:i/>
          <w:iCs/>
          <w:color w:val="000000"/>
          <w:sz w:val="20"/>
          <w:szCs w:val="20"/>
        </w:rPr>
        <w:t>Daniel in the Lion’s Den</w:t>
      </w:r>
      <w:r>
        <w:rPr>
          <w:color w:val="000000"/>
          <w:sz w:val="20"/>
          <w:szCs w:val="20"/>
        </w:rPr>
        <w:t xml:space="preserve"> and </w:t>
      </w:r>
      <w:r w:rsidRPr="000409FE">
        <w:rPr>
          <w:i/>
          <w:iCs/>
          <w:color w:val="000000"/>
          <w:sz w:val="20"/>
          <w:szCs w:val="20"/>
        </w:rPr>
        <w:t>Endymion</w:t>
      </w:r>
      <w:r>
        <w:rPr>
          <w:color w:val="000000"/>
          <w:sz w:val="20"/>
          <w:szCs w:val="20"/>
        </w:rPr>
        <w:t xml:space="preserve">. In </w:t>
      </w:r>
      <w:r>
        <w:rPr>
          <w:i/>
          <w:iCs/>
          <w:color w:val="000000"/>
          <w:sz w:val="20"/>
          <w:szCs w:val="20"/>
        </w:rPr>
        <w:t xml:space="preserve">Daniel in the Lion’s Den, </w:t>
      </w:r>
      <w:r>
        <w:rPr>
          <w:color w:val="000000"/>
          <w:sz w:val="20"/>
          <w:szCs w:val="20"/>
        </w:rPr>
        <w:t xml:space="preserve">Daniel, thrown into a den of lions’ aggression. This narrative mirrors (G)I-DLE’s message, suggesting that inner strength and self-assurance can serve as a defense against the predatory forces of objectification. Just as Daniel’s faith keeps the lions at bay, the metaphor implies that self-confidence can act as a protective force, empowering women to uphold their principles and self-worth amid societal pressures </w:t>
      </w:r>
      <w:r>
        <w:rPr>
          <w:color w:val="000000"/>
          <w:sz w:val="20"/>
          <w:szCs w:val="20"/>
        </w:rPr>
        <w:fldChar w:fldCharType="begin"/>
      </w:r>
      <w:r>
        <w:rPr>
          <w:color w:val="000000"/>
          <w:sz w:val="20"/>
          <w:szCs w:val="20"/>
        </w:rPr>
        <w:instrText xml:space="preserve"> ADDIN ZOTERO_ITEM CSL_CITATION {"citationID":"aIY2FXqw","properties":{"formattedCitation":"(Canevaro, 2018)","plainCitation":"(Canevaro, 2018)","noteIndex":0},"citationItems":[{"id":861,"uris":["http://zotero.org/users/local/MvyTXXMq/items/V2UUB67S"],"itemData":{"id":861,"type":"book","event-place":"Croydon","publisher":"Oxford University Press","publisher-place":"Croydon","title":"Women of Substance in Homeric Epic: Objects, Gender, Agency.","author":[{"family":"Canevaro","given":"L. G.\\"}],"issued":{"date-parts":[["2018"]]}}}],"schema":"https://github.com/citation-style-language/schema/raw/master/csl-citation.json"} </w:instrText>
      </w:r>
      <w:r>
        <w:rPr>
          <w:color w:val="000000"/>
          <w:sz w:val="20"/>
          <w:szCs w:val="20"/>
        </w:rPr>
        <w:fldChar w:fldCharType="separate"/>
      </w:r>
      <w:r>
        <w:rPr>
          <w:noProof/>
          <w:color w:val="000000"/>
          <w:sz w:val="20"/>
          <w:szCs w:val="20"/>
        </w:rPr>
        <w:t>(Canevaro, 2018)</w:t>
      </w:r>
      <w:r>
        <w:rPr>
          <w:color w:val="000000"/>
          <w:sz w:val="20"/>
          <w:szCs w:val="20"/>
        </w:rPr>
        <w:fldChar w:fldCharType="end"/>
      </w:r>
      <w:r>
        <w:rPr>
          <w:color w:val="000000"/>
          <w:sz w:val="20"/>
          <w:szCs w:val="20"/>
        </w:rPr>
        <w:t xml:space="preserve">. </w:t>
      </w:r>
    </w:p>
    <w:p w14:paraId="7DF8A74E" w14:textId="77777777" w:rsidR="00640082" w:rsidRPr="000409FE" w:rsidRDefault="00640082" w:rsidP="001F2ACA">
      <w:pPr>
        <w:pStyle w:val="NormalWeb"/>
        <w:spacing w:before="0" w:beforeAutospacing="0" w:after="0" w:afterAutospacing="0"/>
        <w:ind w:left="1134" w:firstLine="567"/>
        <w:jc w:val="both"/>
        <w:rPr>
          <w:color w:val="000000"/>
          <w:sz w:val="20"/>
          <w:szCs w:val="20"/>
        </w:rPr>
      </w:pPr>
      <w:r>
        <w:rPr>
          <w:color w:val="000000"/>
          <w:sz w:val="20"/>
          <w:szCs w:val="20"/>
        </w:rPr>
        <w:t xml:space="preserve">Meanwhile, the </w:t>
      </w:r>
      <w:r>
        <w:rPr>
          <w:i/>
          <w:iCs/>
          <w:color w:val="000000"/>
          <w:sz w:val="20"/>
          <w:szCs w:val="20"/>
        </w:rPr>
        <w:t>Endymion</w:t>
      </w:r>
      <w:r>
        <w:rPr>
          <w:color w:val="000000"/>
          <w:sz w:val="20"/>
          <w:szCs w:val="20"/>
        </w:rPr>
        <w:t xml:space="preserve"> painting, symbolizing eternal sleep and passive beauty, reflects the societal tendency to value women for their appearance alone, often neglecting their individuality and agency. In Greek mythology, Endymion was placed into a perpetual slumber by the goddess Selene, who wished to preserve his beauty untouched. By incorporating these classical references, (G)I-DLE ‘</w:t>
      </w:r>
      <w:r>
        <w:rPr>
          <w:i/>
          <w:iCs/>
          <w:color w:val="000000"/>
          <w:sz w:val="20"/>
          <w:szCs w:val="20"/>
        </w:rPr>
        <w:t>NXDE’</w:t>
      </w:r>
      <w:r>
        <w:rPr>
          <w:color w:val="000000"/>
          <w:sz w:val="20"/>
          <w:szCs w:val="20"/>
        </w:rPr>
        <w:t xml:space="preserve"> underscores the historical roots of objectification, critiquing how women, much like figures in these myths, are often idealized for their passivity and beauty, stripped of agency, and confined to roles that prioritize appearance over individuality. This scene thus confronts the viewer with a profound reflection on how the cultural fetishization of beauty transforms women into public property, illustrating the psychological and social to toll of living under constant public scrutiny and objectification </w:t>
      </w:r>
      <w:r>
        <w:rPr>
          <w:color w:val="000000"/>
          <w:sz w:val="20"/>
          <w:szCs w:val="20"/>
        </w:rPr>
        <w:fldChar w:fldCharType="begin"/>
      </w:r>
      <w:r>
        <w:rPr>
          <w:color w:val="000000"/>
          <w:sz w:val="20"/>
          <w:szCs w:val="20"/>
        </w:rPr>
        <w:instrText xml:space="preserve"> ADDIN ZOTERO_ITEM CSL_CITATION {"citationID":"GBYjZ3X2","properties":{"formattedCitation":"(Milestone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color w:val="000000"/>
          <w:sz w:val="20"/>
          <w:szCs w:val="20"/>
        </w:rPr>
        <w:fldChar w:fldCharType="separate"/>
      </w:r>
      <w:r>
        <w:rPr>
          <w:noProof/>
          <w:color w:val="000000"/>
          <w:sz w:val="20"/>
          <w:szCs w:val="20"/>
        </w:rPr>
        <w:t>(Milestone &amp; Meyer, 2020)</w:t>
      </w:r>
      <w:r>
        <w:rPr>
          <w:color w:val="000000"/>
          <w:sz w:val="20"/>
          <w:szCs w:val="20"/>
        </w:rPr>
        <w:fldChar w:fldCharType="end"/>
      </w:r>
      <w:r>
        <w:rPr>
          <w:color w:val="000000"/>
          <w:sz w:val="20"/>
          <w:szCs w:val="20"/>
        </w:rPr>
        <w:t xml:space="preserve">.  </w:t>
      </w:r>
      <w:proofErr w:type="spellStart"/>
      <w:r>
        <w:rPr>
          <w:color w:val="000000"/>
          <w:sz w:val="20"/>
          <w:szCs w:val="20"/>
        </w:rPr>
        <w:t>SAfter</w:t>
      </w:r>
      <w:proofErr w:type="spellEnd"/>
      <w:r>
        <w:rPr>
          <w:color w:val="000000"/>
          <w:sz w:val="20"/>
          <w:szCs w:val="20"/>
        </w:rPr>
        <w:t xml:space="preserve"> </w:t>
      </w:r>
      <w:proofErr w:type="spellStart"/>
      <w:r>
        <w:rPr>
          <w:color w:val="000000"/>
          <w:sz w:val="20"/>
          <w:szCs w:val="20"/>
        </w:rPr>
        <w:t>shuhua</w:t>
      </w:r>
      <w:proofErr w:type="spellEnd"/>
      <w:r>
        <w:rPr>
          <w:color w:val="000000"/>
          <w:sz w:val="20"/>
          <w:szCs w:val="20"/>
        </w:rPr>
        <w:t xml:space="preserve"> sequence </w:t>
      </w:r>
      <w:proofErr w:type="spellStart"/>
      <w:r>
        <w:rPr>
          <w:color w:val="000000"/>
          <w:sz w:val="20"/>
          <w:szCs w:val="20"/>
        </w:rPr>
        <w:t>soyeon</w:t>
      </w:r>
      <w:proofErr w:type="spellEnd"/>
      <w:r>
        <w:rPr>
          <w:color w:val="000000"/>
          <w:sz w:val="20"/>
          <w:szCs w:val="20"/>
        </w:rPr>
        <w:t xml:space="preserve"> </w:t>
      </w:r>
      <w:proofErr w:type="spellStart"/>
      <w:r>
        <w:rPr>
          <w:color w:val="000000"/>
          <w:sz w:val="20"/>
          <w:szCs w:val="20"/>
        </w:rPr>
        <w:t>strated</w:t>
      </w:r>
      <w:proofErr w:type="spellEnd"/>
      <w:r>
        <w:rPr>
          <w:color w:val="000000"/>
          <w:sz w:val="20"/>
          <w:szCs w:val="20"/>
        </w:rPr>
        <w:t xml:space="preserve"> to open her clothes in front of camera, </w:t>
      </w:r>
      <w:proofErr w:type="gramStart"/>
      <w:r>
        <w:rPr>
          <w:color w:val="000000"/>
          <w:sz w:val="20"/>
          <w:szCs w:val="20"/>
        </w:rPr>
        <w:t>This</w:t>
      </w:r>
      <w:proofErr w:type="gramEnd"/>
      <w:r>
        <w:rPr>
          <w:color w:val="000000"/>
          <w:sz w:val="20"/>
          <w:szCs w:val="20"/>
        </w:rPr>
        <w:t xml:space="preserve"> sequence </w:t>
      </w:r>
      <w:proofErr w:type="spellStart"/>
      <w:r>
        <w:rPr>
          <w:color w:val="000000"/>
          <w:sz w:val="20"/>
          <w:szCs w:val="20"/>
        </w:rPr>
        <w:t>soyeon</w:t>
      </w:r>
      <w:proofErr w:type="spellEnd"/>
      <w:r>
        <w:rPr>
          <w:color w:val="000000"/>
          <w:sz w:val="20"/>
          <w:szCs w:val="20"/>
        </w:rPr>
        <w:t xml:space="preserve"> want to giving </w:t>
      </w:r>
      <w:proofErr w:type="spellStart"/>
      <w:r>
        <w:rPr>
          <w:color w:val="000000"/>
          <w:sz w:val="20"/>
          <w:szCs w:val="20"/>
        </w:rPr>
        <w:t>ctritics</w:t>
      </w:r>
      <w:proofErr w:type="spellEnd"/>
      <w:r>
        <w:rPr>
          <w:color w:val="000000"/>
          <w:sz w:val="20"/>
          <w:szCs w:val="20"/>
        </w:rPr>
        <w:t xml:space="preserve"> about hidden camera. In south Korean the hidden camera is consider as very bad criminal that targeting woman in south Korean.</w:t>
      </w:r>
    </w:p>
    <w:p w14:paraId="4737541F" w14:textId="77777777" w:rsidR="00640082" w:rsidRDefault="00640082" w:rsidP="00E1677F">
      <w:pPr>
        <w:pStyle w:val="NormalWeb"/>
        <w:spacing w:before="0" w:beforeAutospacing="0" w:after="0" w:afterAutospacing="0"/>
        <w:ind w:left="717"/>
        <w:jc w:val="both"/>
        <w:rPr>
          <w:b/>
          <w:bCs/>
          <w:color w:val="000000"/>
          <w:sz w:val="20"/>
          <w:szCs w:val="20"/>
        </w:rPr>
      </w:pPr>
    </w:p>
    <w:p w14:paraId="30A2FB9C" w14:textId="77777777" w:rsidR="00640082" w:rsidRPr="000409FE" w:rsidRDefault="00640082" w:rsidP="00E1677F">
      <w:pPr>
        <w:pStyle w:val="NormalWeb"/>
        <w:spacing w:before="0" w:beforeAutospacing="0" w:after="0" w:afterAutospacing="0"/>
        <w:ind w:left="717"/>
        <w:jc w:val="both"/>
        <w:rPr>
          <w:color w:val="000000"/>
          <w:sz w:val="20"/>
          <w:szCs w:val="20"/>
        </w:rPr>
      </w:pPr>
      <w:r>
        <w:rPr>
          <w:b/>
          <w:bCs/>
          <w:color w:val="000000"/>
          <w:sz w:val="20"/>
          <w:szCs w:val="20"/>
        </w:rPr>
        <w:t>3.2 Symbolism in the ‘</w:t>
      </w:r>
      <w:r>
        <w:rPr>
          <w:b/>
          <w:bCs/>
          <w:i/>
          <w:iCs/>
          <w:color w:val="000000"/>
          <w:sz w:val="20"/>
          <w:szCs w:val="20"/>
        </w:rPr>
        <w:t>NXDE’</w:t>
      </w:r>
      <w:r>
        <w:rPr>
          <w:b/>
          <w:bCs/>
          <w:color w:val="000000"/>
          <w:sz w:val="20"/>
          <w:szCs w:val="20"/>
        </w:rPr>
        <w:t xml:space="preserve"> Music Video: Color, Femineity, and Cultural Critique</w:t>
      </w:r>
    </w:p>
    <w:p w14:paraId="779B5B0C" w14:textId="77777777" w:rsidR="00640082" w:rsidRDefault="00640082" w:rsidP="009B3ABD">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The music video ‘</w:t>
      </w:r>
      <w:r>
        <w:rPr>
          <w:i/>
          <w:iCs/>
          <w:color w:val="000000"/>
          <w:sz w:val="20"/>
          <w:szCs w:val="20"/>
        </w:rPr>
        <w:t>NXDE’</w:t>
      </w:r>
      <w:r>
        <w:rPr>
          <w:color w:val="000000"/>
          <w:sz w:val="20"/>
          <w:szCs w:val="20"/>
        </w:rPr>
        <w:t xml:space="preserve"> by (G)I-DLE contains a variety of potent symbolic elements, including color, iconic images, and visual metaphors. These components come together to question deeply ingrained patriarchal stereotypes and to celebrate the complexities of womanhood. One of the most important symbols is the color red, which has a profound cultural importance in South Korea. It is especially connected with the concept of monarchy, aristocracy, and the holiness of legacy. Historically, during the Joseon Dynasty, the color red was designed for members of the royal family, particularly queens. This was done since red was a hue that symbolized both power and majesty </w:t>
      </w:r>
      <w:r>
        <w:rPr>
          <w:color w:val="000000"/>
          <w:sz w:val="20"/>
          <w:szCs w:val="20"/>
        </w:rPr>
        <w:fldChar w:fldCharType="begin"/>
      </w:r>
      <w:r>
        <w:rPr>
          <w:color w:val="000000"/>
          <w:sz w:val="20"/>
          <w:szCs w:val="20"/>
        </w:rPr>
        <w:instrText xml:space="preserve"> ADDIN ZOTERO_ITEM CSL_CITATION {"citationID":"ULYzrjYm","properties":{"formattedCitation":"(Jang, 2024)","plainCitation":"(Jang, 2024)","noteIndex":0},"citationItems":[{"id":864,"uris":["http://zotero.org/users/local/MvyTXXMq/items/KGSPQ3YJ"],"itemData":{"id":864,"type":"article-journal","container-title":"International Journal of Advanced Culture Technology","DOI":"https://doi.org/10.17703/IJACT.2024.12.3.52","issue":"3","page":"52-56","title":"A Study on the Primary Color Value Setting of Yin and Yang Five Elements.","volume":"12","author":[{"family":"Jang","given":"Y. S."}],"issued":{"date-parts":[["2024"]]}}}],"schema":"https://github.com/citation-style-language/schema/raw/master/csl-citation.json"} </w:instrText>
      </w:r>
      <w:r>
        <w:rPr>
          <w:color w:val="000000"/>
          <w:sz w:val="20"/>
          <w:szCs w:val="20"/>
        </w:rPr>
        <w:fldChar w:fldCharType="separate"/>
      </w:r>
      <w:r>
        <w:rPr>
          <w:noProof/>
          <w:color w:val="000000"/>
          <w:sz w:val="20"/>
          <w:szCs w:val="20"/>
        </w:rPr>
        <w:t>(Jang, 2024)</w:t>
      </w:r>
      <w:r>
        <w:rPr>
          <w:color w:val="000000"/>
          <w:sz w:val="20"/>
          <w:szCs w:val="20"/>
        </w:rPr>
        <w:fldChar w:fldCharType="end"/>
      </w:r>
      <w:r>
        <w:rPr>
          <w:color w:val="000000"/>
          <w:sz w:val="20"/>
          <w:szCs w:val="20"/>
        </w:rPr>
        <w:t xml:space="preserve">. (G)I-DLE emphasizes an image of women as dignified and deserving of respect by weaving red throughout the graphics. This suggest that women symbolize power and autonomy in a manner that is comparable to the cultural regard that is accorded to royalty. This choice of hue confronts the objectification that women often experience in the media. Instead, it asserts that women have intrinsic value and power, which is a direct criticism of the tendency of society to reduce women to mere symbols of desire and consumerism. </w:t>
      </w:r>
    </w:p>
    <w:p w14:paraId="1E00D139" w14:textId="77777777" w:rsidR="00640082" w:rsidRDefault="00640082" w:rsidP="009B3ABD">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When considered in the larger context of K-pop, where female groups are often visually depicted in ways that appeal to a largely male gaze, the choice of red has multiple meanings that are worth considering. The color red is transformed into a statement of authority rather than an invitation in the film ‘</w:t>
      </w:r>
      <w:r>
        <w:rPr>
          <w:i/>
          <w:iCs/>
          <w:color w:val="000000"/>
          <w:sz w:val="20"/>
          <w:szCs w:val="20"/>
        </w:rPr>
        <w:t>NXDE’</w:t>
      </w:r>
      <w:r>
        <w:rPr>
          <w:color w:val="000000"/>
          <w:sz w:val="20"/>
          <w:szCs w:val="20"/>
        </w:rPr>
        <w:t xml:space="preserve">, which subverts the ideals of submissive femininity and instead aligns the women with a tradition of resiliency and self-worth. This visual decision not only appeals to consumers in South Korea, but it also engages viewers all over the world who are acquainted with the two-sided nature of the color red, which can be both attractive and powerful. Therefore, rather of presenting femininity as a feature that is exclusively characterized by exterior beauty, it displays femininity as a layered and complex trait, which challenges viewers all over the world to evaluate femininity beyond its surface appeal </w:t>
      </w:r>
      <w:r>
        <w:rPr>
          <w:color w:val="000000"/>
          <w:sz w:val="20"/>
          <w:szCs w:val="20"/>
        </w:rPr>
        <w:fldChar w:fldCharType="begin"/>
      </w:r>
      <w:r>
        <w:rPr>
          <w:color w:val="000000"/>
          <w:sz w:val="20"/>
          <w:szCs w:val="20"/>
        </w:rPr>
        <w:instrText xml:space="preserve"> ADDIN ZOTERO_ITEM CSL_CITATION {"citationID":"u2txEN2U","properties":{"formattedCitation":"(Lee et al., 2024)","plainCitation":"(Lee et al., 2024)","noteIndex":0},"citationItems":[{"id":856,"uris":["http://zotero.org/users/local/MvyTXXMq/items/65ZWH4H7"],"itemData":{"id":856,"type":"article-journal","container-title":"Boanerges: Makarios Education Journa","title":"Challenging the'Dumb Blonde'Stereotype: A Feminist and Intersectional Analysis of Gender and Professionalism in Legally Blonde (2001) Movie.","volume":"96","author":[{"family":"Lee","given":"G. L."},{"family":"Sabuin","given":"K. J. M."},{"family":"Manullang","given":"P. P."},{"family":"Hutagalung","given":"R. C. A."}],"issued":{"date-parts":[["2024"]]}}}],"schema":"https://github.com/citation-style-language/schema/raw/master/csl-citation.json"} </w:instrText>
      </w:r>
      <w:r>
        <w:rPr>
          <w:color w:val="000000"/>
          <w:sz w:val="20"/>
          <w:szCs w:val="20"/>
        </w:rPr>
        <w:fldChar w:fldCharType="separate"/>
      </w:r>
      <w:r>
        <w:rPr>
          <w:noProof/>
          <w:color w:val="000000"/>
          <w:sz w:val="20"/>
          <w:szCs w:val="20"/>
        </w:rPr>
        <w:t>(Lee et al., 2024)</w:t>
      </w:r>
      <w:r>
        <w:rPr>
          <w:color w:val="000000"/>
          <w:sz w:val="20"/>
          <w:szCs w:val="20"/>
        </w:rPr>
        <w:fldChar w:fldCharType="end"/>
      </w:r>
      <w:r>
        <w:rPr>
          <w:color w:val="000000"/>
          <w:sz w:val="20"/>
          <w:szCs w:val="20"/>
        </w:rPr>
        <w:t xml:space="preserve">. </w:t>
      </w:r>
    </w:p>
    <w:p w14:paraId="206746E9" w14:textId="77777777" w:rsidR="00640082" w:rsidRDefault="00640082" w:rsidP="009B3ABD">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Marilyn Monroe, whose image is strongly ingrained in Western culture as an archetype of the </w:t>
      </w:r>
      <w:r>
        <w:rPr>
          <w:i/>
          <w:iCs/>
          <w:color w:val="000000"/>
          <w:sz w:val="20"/>
          <w:szCs w:val="20"/>
        </w:rPr>
        <w:t>‘sex symbol,’</w:t>
      </w:r>
      <w:r>
        <w:rPr>
          <w:color w:val="000000"/>
          <w:sz w:val="20"/>
          <w:szCs w:val="20"/>
        </w:rPr>
        <w:t xml:space="preserve"> is another classic reference that is used in the video. Monroe’s image has been created throughout history around her blonde hair, beautiful style, and appeal, all of which led to her objectification in the media. Her accomplishments and acting abilities were eclipsed by the simplistic ‘</w:t>
      </w:r>
      <w:r>
        <w:rPr>
          <w:i/>
          <w:iCs/>
          <w:color w:val="000000"/>
          <w:sz w:val="20"/>
          <w:szCs w:val="20"/>
        </w:rPr>
        <w:t>dumb blonde’</w:t>
      </w:r>
      <w:r>
        <w:rPr>
          <w:color w:val="000000"/>
          <w:sz w:val="20"/>
          <w:szCs w:val="20"/>
        </w:rPr>
        <w:t xml:space="preserve"> caricature, and she became a figure who was revered exclusively for her sexual attractiveness. This Marilyn-inspired persona is reinterpreted by Minnie in the song ‘</w:t>
      </w:r>
      <w:r>
        <w:rPr>
          <w:i/>
          <w:iCs/>
          <w:color w:val="000000"/>
          <w:sz w:val="20"/>
          <w:szCs w:val="20"/>
        </w:rPr>
        <w:t>NXDE,’</w:t>
      </w:r>
      <w:r>
        <w:rPr>
          <w:color w:val="000000"/>
          <w:sz w:val="20"/>
          <w:szCs w:val="20"/>
        </w:rPr>
        <w:t xml:space="preserve"> where she emphasizes the importance of autonomy by rejecting the overtures that are represented by the red heart-shaped cutouts that are given by males around her. According to </w:t>
      </w:r>
      <w:r>
        <w:rPr>
          <w:color w:val="000000"/>
          <w:sz w:val="20"/>
          <w:szCs w:val="20"/>
        </w:rPr>
        <w:fldChar w:fldCharType="begin"/>
      </w:r>
      <w:r>
        <w:rPr>
          <w:color w:val="000000"/>
          <w:sz w:val="20"/>
          <w:szCs w:val="20"/>
        </w:rPr>
        <w:instrText xml:space="preserve"> ADDIN ZOTERO_ITEM CSL_CITATION {"citationID":"wQxHo4Uj","properties":{"formattedCitation":"(Lee et al., 2024)","plainCitation":"(Lee et al., 2024)","noteIndex":0},"citationItems":[{"id":856,"uris":["http://zotero.org/users/local/MvyTXXMq/items/65ZWH4H7"],"itemData":{"id":856,"type":"article-journal","container-title":"Boanerges: Makarios Education Journa","title":"Challenging the'Dumb Blonde'Stereotype: A Feminist and Intersectional Analysis of Gender and Professionalism in Legally Blonde (2001) Movie.","volume":"96","author":[{"family":"Lee","given":"G. L."},{"family":"Sabuin","given":"K. J. M."},{"family":"Manullang","given":"P. P."},{"family":"Hutagalung","given":"R. C. A."}],"issued":{"date-parts":[["2024"]]}}}],"schema":"https://github.com/citation-style-language/schema/raw/master/csl-citation.json"} </w:instrText>
      </w:r>
      <w:r>
        <w:rPr>
          <w:color w:val="000000"/>
          <w:sz w:val="20"/>
          <w:szCs w:val="20"/>
        </w:rPr>
        <w:fldChar w:fldCharType="separate"/>
      </w:r>
      <w:r>
        <w:rPr>
          <w:noProof/>
          <w:color w:val="000000"/>
          <w:sz w:val="20"/>
          <w:szCs w:val="20"/>
        </w:rPr>
        <w:t>(Lee et al., 2024)</w:t>
      </w:r>
      <w:r>
        <w:rPr>
          <w:color w:val="000000"/>
          <w:sz w:val="20"/>
          <w:szCs w:val="20"/>
        </w:rPr>
        <w:fldChar w:fldCharType="end"/>
      </w:r>
      <w:r>
        <w:rPr>
          <w:color w:val="000000"/>
          <w:sz w:val="20"/>
          <w:szCs w:val="20"/>
        </w:rPr>
        <w:t xml:space="preserve">, this subtle rejection is a criticism of superficial depictions that reduce women to their physical features. It also highlights the dissatisfaction that many women have toward objectification of women for their physical attributes. This moment not only defies the stereotype, but it also questions the cultural assumption that women should embrace such attention. It offers a counter-narrative in which beauty and independence coexist without the need for affirmation from outside sources. </w:t>
      </w:r>
    </w:p>
    <w:p w14:paraId="35180BE5" w14:textId="77777777" w:rsidR="00640082" w:rsidRDefault="00640082" w:rsidP="009B3ABD">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An examination of Western beauty standards, in particular the predilection for blonde hair as a symbol of desirability, is the focus of ‘</w:t>
      </w:r>
      <w:r>
        <w:rPr>
          <w:i/>
          <w:iCs/>
          <w:color w:val="000000"/>
          <w:sz w:val="20"/>
          <w:szCs w:val="20"/>
        </w:rPr>
        <w:t xml:space="preserve">NXDE,’ </w:t>
      </w:r>
      <w:r>
        <w:rPr>
          <w:color w:val="000000"/>
          <w:sz w:val="20"/>
          <w:szCs w:val="20"/>
        </w:rPr>
        <w:t>which provides a more in-depth criticism of the ‘</w:t>
      </w:r>
      <w:r>
        <w:rPr>
          <w:i/>
          <w:iCs/>
          <w:color w:val="000000"/>
          <w:sz w:val="20"/>
          <w:szCs w:val="20"/>
        </w:rPr>
        <w:t>dumb blonde’</w:t>
      </w:r>
      <w:r>
        <w:rPr>
          <w:color w:val="000000"/>
          <w:sz w:val="20"/>
          <w:szCs w:val="20"/>
        </w:rPr>
        <w:t xml:space="preserve"> stereotype. A precedent for the ‘</w:t>
      </w:r>
      <w:r>
        <w:rPr>
          <w:i/>
          <w:iCs/>
          <w:color w:val="000000"/>
          <w:sz w:val="20"/>
          <w:szCs w:val="20"/>
        </w:rPr>
        <w:t>dumb blonde’</w:t>
      </w:r>
      <w:r>
        <w:rPr>
          <w:color w:val="000000"/>
          <w:sz w:val="20"/>
          <w:szCs w:val="20"/>
        </w:rPr>
        <w:t xml:space="preserve"> stereotype was set by Western society, which was historically inspired by the image of the Greek goddess Aphrodite, who was often represented as blonde and loved for her beauty despite her vanity and moral failings </w:t>
      </w:r>
      <w:r>
        <w:rPr>
          <w:color w:val="000000"/>
          <w:sz w:val="20"/>
          <w:szCs w:val="20"/>
        </w:rPr>
        <w:fldChar w:fldCharType="begin"/>
      </w:r>
      <w:r>
        <w:rPr>
          <w:color w:val="000000"/>
          <w:sz w:val="20"/>
          <w:szCs w:val="20"/>
        </w:rPr>
        <w:instrText xml:space="preserve"> ADDIN ZOTERO_ITEM CSL_CITATION {"citationID":"uGChKtbZ","properties":{"formattedCitation":"(Hughes, 2019)","plainCitation":"(Hughes, 2019)","noteIndex":0},"citationItems":[{"id":854,"uris":["http://zotero.org/users/local/MvyTXXMq/items/W9PC7MND"],"itemData":{"id":854,"type":"book","event-place":"London","publisher":"Hachette UK","publisher-place":"London","title":"Venus and Aphrodite: History of a Goddess","author":[{"family":"Hughes","given":"B."}],"issued":{"date-parts":[["2019"]]}}}],"schema":"https://github.com/citation-style-language/schema/raw/master/csl-citation.json"} </w:instrText>
      </w:r>
      <w:r>
        <w:rPr>
          <w:color w:val="000000"/>
          <w:sz w:val="20"/>
          <w:szCs w:val="20"/>
        </w:rPr>
        <w:fldChar w:fldCharType="separate"/>
      </w:r>
      <w:r>
        <w:rPr>
          <w:noProof/>
          <w:color w:val="000000"/>
          <w:sz w:val="20"/>
          <w:szCs w:val="20"/>
        </w:rPr>
        <w:t>(Hughes, 2019)</w:t>
      </w:r>
      <w:r>
        <w:rPr>
          <w:color w:val="000000"/>
          <w:sz w:val="20"/>
          <w:szCs w:val="20"/>
        </w:rPr>
        <w:fldChar w:fldCharType="end"/>
      </w:r>
      <w:r>
        <w:rPr>
          <w:color w:val="000000"/>
          <w:sz w:val="20"/>
          <w:szCs w:val="20"/>
        </w:rPr>
        <w:t>. A misconception that has been very prevalent in media portrayals of blonde women is that they are shallow, innocent, and reliant on the attention of men. This archetype presents blonde women in this manner. The members of the group, on the other hand, reinterpret this archetype in ‘</w:t>
      </w:r>
      <w:r>
        <w:rPr>
          <w:i/>
          <w:iCs/>
          <w:color w:val="000000"/>
          <w:sz w:val="20"/>
          <w:szCs w:val="20"/>
        </w:rPr>
        <w:t>NXDE’</w:t>
      </w:r>
      <w:r>
        <w:rPr>
          <w:color w:val="000000"/>
          <w:sz w:val="20"/>
          <w:szCs w:val="20"/>
        </w:rPr>
        <w:t xml:space="preserve"> in order to stress intellect and empowerment. This can be observed in sequences such as 00:10-00:18, 00:25-00:32, and 03:13-13:22. These sequences contradict the notion that blonde hair is synonymous with superficiality. Instead, they depict blonde hair as a sign of power and autonomy, which is a pushback against the simple narratives that usually undermine the identifies of women. Through the use of symbolic gestures, the movie reframes blonde hair as an affirmation of uniqueness rather than conformity. It demonstrates that women with blonde hair may symbolize power, intelligence, and agency that goes beyond the labels that are often associated with them </w:t>
      </w:r>
      <w:r>
        <w:rPr>
          <w:color w:val="000000"/>
          <w:sz w:val="20"/>
          <w:szCs w:val="20"/>
        </w:rPr>
        <w:fldChar w:fldCharType="begin"/>
      </w:r>
      <w:r>
        <w:rPr>
          <w:color w:val="000000"/>
          <w:sz w:val="20"/>
          <w:szCs w:val="20"/>
        </w:rPr>
        <w:instrText xml:space="preserve"> ADDIN ZOTERO_ITEM CSL_CITATION {"citationID":"AQ3LxYNQ","properties":{"formattedCitation":"(Mikkola, 2016)","plainCitation":"(Mikkola, 2016)","noteIndex":0},"citationItems":[{"id":860,"uris":["http://zotero.org/users/local/MvyTXXMq/items/E3Q27K67"],"itemData":{"id":860,"type":"book","event-place":"New York","publisher":"Oxford University Press","publisher-place":"New York","title":"The wrong of injustice: Dehumanization and its role in feminist philosophy.","author":[{"family":"Mikkola","given":"M."}],"issued":{"date-parts":[["2016"]]}}}],"schema":"https://github.com/citation-style-language/schema/raw/master/csl-citation.json"} </w:instrText>
      </w:r>
      <w:r>
        <w:rPr>
          <w:color w:val="000000"/>
          <w:sz w:val="20"/>
          <w:szCs w:val="20"/>
        </w:rPr>
        <w:fldChar w:fldCharType="separate"/>
      </w:r>
      <w:r>
        <w:rPr>
          <w:noProof/>
          <w:color w:val="000000"/>
          <w:sz w:val="20"/>
          <w:szCs w:val="20"/>
        </w:rPr>
        <w:t>(Mikkola, 2016)</w:t>
      </w:r>
      <w:r>
        <w:rPr>
          <w:color w:val="000000"/>
          <w:sz w:val="20"/>
          <w:szCs w:val="20"/>
        </w:rPr>
        <w:fldChar w:fldCharType="end"/>
      </w:r>
      <w:r>
        <w:rPr>
          <w:color w:val="000000"/>
          <w:sz w:val="20"/>
          <w:szCs w:val="20"/>
        </w:rPr>
        <w:t xml:space="preserve">. </w:t>
      </w:r>
    </w:p>
    <w:p w14:paraId="768D3352" w14:textId="77777777" w:rsidR="00640082" w:rsidRDefault="00640082" w:rsidP="00DD61E1">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Additionally, the film makes frequent use of jewelry, which is another significant symbol that carries subtle signals about the importance of worth and autonomy. Scenes such as 00:10-00:18 and 03:13-03:22 include members who are adorned with diamond-like ornaments that convey elegance and exclusivity. These members utilize jewelry as a means of reasserting their independence rather than proving their dependence on others. The notion that diamonds represent materialistic demands and dependence on male validation is subverted by the film (G)I-DLE, which was based on the classic depiction of Marilyn Monroe in the film </w:t>
      </w:r>
      <w:r>
        <w:rPr>
          <w:i/>
          <w:iCs/>
          <w:color w:val="000000"/>
          <w:sz w:val="20"/>
          <w:szCs w:val="20"/>
        </w:rPr>
        <w:t xml:space="preserve">Gentlemen Prefer Blondes. </w:t>
      </w:r>
      <w:r>
        <w:rPr>
          <w:color w:val="000000"/>
          <w:sz w:val="20"/>
          <w:szCs w:val="20"/>
        </w:rPr>
        <w:t xml:space="preserve">The group reclaims diamonds as personal symbols of worth and elegance, supporting the concept that women’s value is self-defined rather than decided by external praise </w:t>
      </w:r>
      <w:r>
        <w:rPr>
          <w:color w:val="000000"/>
          <w:sz w:val="20"/>
          <w:szCs w:val="20"/>
        </w:rPr>
        <w:fldChar w:fldCharType="begin"/>
      </w:r>
      <w:r>
        <w:rPr>
          <w:color w:val="000000"/>
          <w:sz w:val="20"/>
          <w:szCs w:val="20"/>
        </w:rPr>
        <w:instrText xml:space="preserve"> ADDIN ZOTERO_ITEM CSL_CITATION {"citationID":"ysIXAO0A","properties":{"formattedCitation":"(Milestone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color w:val="000000"/>
          <w:sz w:val="20"/>
          <w:szCs w:val="20"/>
        </w:rPr>
        <w:fldChar w:fldCharType="separate"/>
      </w:r>
      <w:r>
        <w:rPr>
          <w:noProof/>
          <w:color w:val="000000"/>
          <w:sz w:val="20"/>
          <w:szCs w:val="20"/>
        </w:rPr>
        <w:t>(Milestone &amp; Meyer, 2020)</w:t>
      </w:r>
      <w:r>
        <w:rPr>
          <w:color w:val="000000"/>
          <w:sz w:val="20"/>
          <w:szCs w:val="20"/>
        </w:rPr>
        <w:fldChar w:fldCharType="end"/>
      </w:r>
      <w:r>
        <w:rPr>
          <w:color w:val="000000"/>
          <w:sz w:val="20"/>
          <w:szCs w:val="20"/>
        </w:rPr>
        <w:t>. Instead of exhibiting diamonds as symbols of male-driven validation, the group reclaims them as personal symbols of worth and beauty. The women position themselves as ‘</w:t>
      </w:r>
      <w:r>
        <w:rPr>
          <w:i/>
          <w:iCs/>
          <w:color w:val="000000"/>
          <w:sz w:val="20"/>
          <w:szCs w:val="20"/>
        </w:rPr>
        <w:t>expensive’</w:t>
      </w:r>
      <w:r>
        <w:rPr>
          <w:color w:val="000000"/>
          <w:sz w:val="20"/>
          <w:szCs w:val="20"/>
        </w:rPr>
        <w:t xml:space="preserve"> in the sense of self-respect by selecting modest dress and rejecting overtures from males. This suggests that their dignity and feeling of self-worth cannot be simply acquired or commodified. </w:t>
      </w:r>
    </w:p>
    <w:p w14:paraId="21F6B68B" w14:textId="77777777" w:rsidR="00640082" w:rsidRDefault="00640082" w:rsidP="00DD61E1">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An effective criticism of the multiple standards that often pervade depictions of women in the media is provided by the cumulative impact of these visual aspects. NXDE is a forceful statement against the reduction of women to simple aesthetic objects in South Korea, where conventional gender roles are firmly engrained, and beauty standards are very prescriptive. In this country, ‘NXDE’ acts as a statement against the reduction of women to appearances. In order to broaden the scope of feminist discourse in K-pop, (G)I-DLE makes use of symbols like as red, blonde hair, and jewelry. This allows them to address both the cultural and universal aspects of gender portrayal. The film not only appeals to audiences in South Korea who are acquainted with the rigorous ideals of femininity, but it also connects with viewers all around the world who have seen similar caricatures in Western media. </w:t>
      </w:r>
    </w:p>
    <w:p w14:paraId="10C5BFC0" w14:textId="77777777" w:rsidR="00640082" w:rsidRPr="00F14604" w:rsidRDefault="00640082" w:rsidP="00DD61E1">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In essence, ‘NXDE’ utilizes the visual language of K-pop to initiate a conversation about gender and representation, so encouraging viewers to examine the ideals that are ingrained in popular media. By using this technique, the limitations of the conventional depictions of femininity in K-pop are pushed farther, and the genre is repositioned as a forum for feminist criticism. The music video urges viewers to go deeper than surface-level interpretations, to notice the social structures that are at play, and to think about the ways in which the media may either support or question the power dynamics that are already in place. (G)I-DLE provides a powerful criticism of the institutions that continue to define gender stereotypes all across the globe. It does this by strategically blending cultural symbols, iconic imagery, and critical visual storytelling. In doing so, it advocates for a more empowered and multifaceted understanding of femininity. </w:t>
      </w:r>
    </w:p>
    <w:p w14:paraId="0D59E6A5" w14:textId="77777777" w:rsidR="00640082" w:rsidRDefault="00640082" w:rsidP="00E1677F">
      <w:pPr>
        <w:pStyle w:val="NormalWeb"/>
        <w:spacing w:before="0" w:beforeAutospacing="0" w:after="0" w:afterAutospacing="0"/>
        <w:ind w:left="717" w:firstLine="720"/>
        <w:jc w:val="both"/>
        <w:rPr>
          <w:color w:val="000000"/>
          <w:sz w:val="20"/>
          <w:szCs w:val="20"/>
        </w:rPr>
      </w:pPr>
    </w:p>
    <w:p w14:paraId="4CF1FCC4" w14:textId="77777777" w:rsidR="00640082" w:rsidRPr="000409FE" w:rsidRDefault="00640082" w:rsidP="000409FE">
      <w:pPr>
        <w:pStyle w:val="NormalWeb"/>
        <w:spacing w:before="0" w:beforeAutospacing="0" w:after="0" w:afterAutospacing="0"/>
        <w:ind w:left="717"/>
        <w:jc w:val="both"/>
        <w:rPr>
          <w:color w:val="000000"/>
          <w:sz w:val="20"/>
          <w:szCs w:val="20"/>
        </w:rPr>
      </w:pPr>
      <w:r>
        <w:rPr>
          <w:color w:val="000000"/>
          <w:sz w:val="20"/>
          <w:szCs w:val="20"/>
        </w:rPr>
        <w:tab/>
      </w:r>
      <w:r>
        <w:rPr>
          <w:b/>
          <w:bCs/>
          <w:color w:val="000000"/>
          <w:sz w:val="20"/>
          <w:szCs w:val="20"/>
        </w:rPr>
        <w:t>3.3 Interpreting the Social Critique in ‘</w:t>
      </w:r>
      <w:r>
        <w:rPr>
          <w:b/>
          <w:bCs/>
          <w:i/>
          <w:iCs/>
          <w:color w:val="000000"/>
          <w:sz w:val="20"/>
          <w:szCs w:val="20"/>
        </w:rPr>
        <w:t>NXDE’</w:t>
      </w:r>
      <w:r>
        <w:rPr>
          <w:b/>
          <w:bCs/>
          <w:color w:val="000000"/>
          <w:sz w:val="20"/>
          <w:szCs w:val="20"/>
        </w:rPr>
        <w:t>: Challenging Patriarchal Norms in South Korean Society</w:t>
      </w:r>
    </w:p>
    <w:p w14:paraId="7A7AC736"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The ‘NXDE’ music video by (G)I-DLE presents a complex and multi-layered critique of the objectification of women, deploying symbolic elements like clothing, makeup, and visual aesthetics to challenge patriarchal values. In South Korea, societal beauty standards continue to idealize traits such as slenderness, fair skin, and long hair, often perpetuated by the beauty industry, which profits from promoting products like skin-whitening creams. This fixation reduces women to their physical appearance, overshadowing their individuality and worth as holistic being </w:t>
      </w:r>
      <w:r>
        <w:rPr>
          <w:color w:val="000000"/>
          <w:sz w:val="20"/>
          <w:szCs w:val="20"/>
        </w:rPr>
        <w:fldChar w:fldCharType="begin"/>
      </w:r>
      <w:r>
        <w:rPr>
          <w:color w:val="000000"/>
          <w:sz w:val="20"/>
          <w:szCs w:val="20"/>
        </w:rPr>
        <w:instrText xml:space="preserve"> ADDIN ZOTERO_ITEM CSL_CITATION {"citationID":"P1tXPFzf","properties":{"formattedCitation":"(Chen &amp; Zhang, 2023)","plainCitation":"(Chen &amp; Zhang, 2023)","noteIndex":0},"citationItems":[{"id":875,"uris":["http://zotero.org/users/local/MvyTXXMq/items/4I2EM9SK"],"itemData":{"id":875,"type":"paper-conference","container-title":"Cultural Studies Review.","DOI":"DOI: 10.54254/2753-7064/10/20231275","title":"Bondage of Standard: Interaction between K-pop Culture and Male Gaze.","author":[{"family":"Chen","given":"S."},{"family":"Zhang","given":"Y."}],"issued":{"date-parts":[["2023"]]}}}],"schema":"https://github.com/citation-style-language/schema/raw/master/csl-citation.json"} </w:instrText>
      </w:r>
      <w:r>
        <w:rPr>
          <w:color w:val="000000"/>
          <w:sz w:val="20"/>
          <w:szCs w:val="20"/>
        </w:rPr>
        <w:fldChar w:fldCharType="separate"/>
      </w:r>
      <w:r>
        <w:rPr>
          <w:noProof/>
          <w:color w:val="000000"/>
          <w:sz w:val="20"/>
          <w:szCs w:val="20"/>
        </w:rPr>
        <w:t>(Chen &amp; Zhang, 2023)</w:t>
      </w:r>
      <w:r>
        <w:rPr>
          <w:color w:val="000000"/>
          <w:sz w:val="20"/>
          <w:szCs w:val="20"/>
        </w:rPr>
        <w:fldChar w:fldCharType="end"/>
      </w:r>
      <w:r>
        <w:rPr>
          <w:color w:val="000000"/>
          <w:sz w:val="20"/>
          <w:szCs w:val="20"/>
        </w:rPr>
        <w:t xml:space="preserve">.through the visual motifs in ‘NXDE,’ (G)I-DLE subverts these standards by showcasing women in ways that go beyond surface-level beauty, positioning femininity as something multidimensional and self-defined. </w:t>
      </w:r>
    </w:p>
    <w:p w14:paraId="533964EB"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The strategic incorporation of Western aesthetics, particularly the Marilyn Monroe-inspired imagery, serves as a bridge between South Korean and global audiences, offering a commentary on the universality of female objectification. Monroe’s image, historically shaped by her status as a ‘sex symbol,’ reflects the persistent tendency to value women for their allure rather than their agency or intellect. By adopting and then subverting this iconography, (G)I-DLE appeals to a diverse audience while also critiquing global norms that equate femininity with desirability. This reimagining allows viewers across cultures to resonate with the critique, highlighting that objectification is not just a local issue but a shared, international concern </w:t>
      </w:r>
      <w:r>
        <w:rPr>
          <w:color w:val="000000"/>
          <w:sz w:val="20"/>
          <w:szCs w:val="20"/>
        </w:rPr>
        <w:fldChar w:fldCharType="begin"/>
      </w:r>
      <w:r>
        <w:rPr>
          <w:color w:val="000000"/>
          <w:sz w:val="20"/>
          <w:szCs w:val="20"/>
        </w:rPr>
        <w:instrText xml:space="preserve"> ADDIN ZOTERO_ITEM CSL_CITATION {"citationID":"UC1wKs9a","properties":{"formattedCitation":"(Venters &amp; Rothenberg, 2022)","plainCitation":"(Venters &amp; Rothenberg, 2022)","noteIndex":0},"citationItems":[{"id":876,"uris":["http://zotero.org/users/local/MvyTXXMq/items/4SKMXNHS"],"itemData":{"id":876,"type":"article-journal","container-title":"Celebrity Studies","DOI":"https://doi.org/10.1080/19392397.2022.2083521","issue":"4","page":"455-471","title":"Trammelled Stars: the Non-Autonomy of Female K-pop Idols.","volume":"14","author":[{"family":"Venters","given":"L."},{"family":"Rothenberg","given":"A."}],"issued":{"date-parts":[["2022"]]}}}],"schema":"https://github.com/citation-style-language/schema/raw/master/csl-citation.json"} </w:instrText>
      </w:r>
      <w:r>
        <w:rPr>
          <w:color w:val="000000"/>
          <w:sz w:val="20"/>
          <w:szCs w:val="20"/>
        </w:rPr>
        <w:fldChar w:fldCharType="separate"/>
      </w:r>
      <w:r>
        <w:rPr>
          <w:noProof/>
          <w:color w:val="000000"/>
          <w:sz w:val="20"/>
          <w:szCs w:val="20"/>
        </w:rPr>
        <w:t>(Venters &amp; Rothenberg, 2022)</w:t>
      </w:r>
      <w:r>
        <w:rPr>
          <w:color w:val="000000"/>
          <w:sz w:val="20"/>
          <w:szCs w:val="20"/>
        </w:rPr>
        <w:fldChar w:fldCharType="end"/>
      </w:r>
      <w:r>
        <w:rPr>
          <w:color w:val="000000"/>
          <w:sz w:val="20"/>
          <w:szCs w:val="20"/>
        </w:rPr>
        <w:t xml:space="preserve">. </w:t>
      </w:r>
    </w:p>
    <w:p w14:paraId="5BE1606A"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(G)I-DLE’s consistent advocacy for empowerment, as seen in their past works like ‘</w:t>
      </w:r>
      <w:proofErr w:type="spellStart"/>
      <w:r>
        <w:rPr>
          <w:color w:val="000000"/>
          <w:sz w:val="20"/>
          <w:szCs w:val="20"/>
        </w:rPr>
        <w:t>Queencard</w:t>
      </w:r>
      <w:proofErr w:type="spellEnd"/>
      <w:r>
        <w:rPr>
          <w:color w:val="000000"/>
          <w:sz w:val="20"/>
          <w:szCs w:val="20"/>
        </w:rPr>
        <w:t xml:space="preserve">’, and ‘D.C.L.M.,’ reinforces their commitment to feminist ideals within a genre that often prioritizes compliance with male-centric views of beauty. Their aesthetic choices, including tomboyish clothing mixed with elegance, stand in stark contrast to the more traditionally feminine portrayals expected of K-pop girl groups. By embracing a style that integrates both masculine and feminine elements, they not only challenge gender norms but also question the rigid </w:t>
      </w:r>
      <w:proofErr w:type="spellStart"/>
      <w:r>
        <w:rPr>
          <w:color w:val="000000"/>
          <w:sz w:val="20"/>
          <w:szCs w:val="20"/>
        </w:rPr>
        <w:t>Bakatyangban</w:t>
      </w:r>
      <w:proofErr w:type="spellEnd"/>
      <w:r>
        <w:rPr>
          <w:color w:val="000000"/>
          <w:sz w:val="20"/>
          <w:szCs w:val="20"/>
        </w:rPr>
        <w:t xml:space="preserve"> and </w:t>
      </w:r>
      <w:proofErr w:type="spellStart"/>
      <w:r>
        <w:rPr>
          <w:color w:val="000000"/>
          <w:sz w:val="20"/>
          <w:szCs w:val="20"/>
        </w:rPr>
        <w:t>Ansaram</w:t>
      </w:r>
      <w:proofErr w:type="spellEnd"/>
      <w:r>
        <w:rPr>
          <w:color w:val="000000"/>
          <w:sz w:val="20"/>
          <w:szCs w:val="20"/>
        </w:rPr>
        <w:t xml:space="preserve"> ideals which historically positioned men as public figures and confined women to the private, domestic sphere. This visual metaphor posits that strength and grace can coexist within a single identity, advancing a concept of empowerment that is flexible and inclusive </w:t>
      </w:r>
      <w:r>
        <w:rPr>
          <w:color w:val="000000"/>
          <w:sz w:val="20"/>
          <w:szCs w:val="20"/>
        </w:rPr>
        <w:fldChar w:fldCharType="begin"/>
      </w:r>
      <w:r>
        <w:rPr>
          <w:color w:val="000000"/>
          <w:sz w:val="20"/>
          <w:szCs w:val="20"/>
        </w:rPr>
        <w:instrText xml:space="preserve"> ADDIN ZOTERO_ITEM CSL_CITATION {"citationID":"M4x2ESMP","properties":{"formattedCitation":"(Li, 2024)","plainCitation":"(Li, 2024)","noteIndex":0},"citationItems":[{"id":877,"uris":["http://zotero.org/users/local/MvyTXXMq/items/SLU5ZM2R"],"itemData":{"id":877,"type":"article-journal","container-title":"Social Semiotics","DOI":"https://doi.org/10.1080/10350330.2022.2150542","issue":"4","page":"576-592","title":"'Yea I'm a f* Tomboy': 'girl crush,' postfeminism, and the reimagining of K-pop femininity","volume":"34","author":[{"family":"Li","given":"X."}],"issued":{"date-parts":[["2024"]]}}}],"schema":"https://github.com/citation-style-language/schema/raw/master/csl-citation.json"} </w:instrText>
      </w:r>
      <w:r>
        <w:rPr>
          <w:color w:val="000000"/>
          <w:sz w:val="20"/>
          <w:szCs w:val="20"/>
        </w:rPr>
        <w:fldChar w:fldCharType="separate"/>
      </w:r>
      <w:r>
        <w:rPr>
          <w:noProof/>
          <w:color w:val="000000"/>
          <w:sz w:val="20"/>
          <w:szCs w:val="20"/>
        </w:rPr>
        <w:t>(Li, 2024)</w:t>
      </w:r>
      <w:r>
        <w:rPr>
          <w:color w:val="000000"/>
          <w:sz w:val="20"/>
          <w:szCs w:val="20"/>
        </w:rPr>
        <w:fldChar w:fldCharType="end"/>
      </w:r>
      <w:r>
        <w:rPr>
          <w:color w:val="000000"/>
          <w:sz w:val="20"/>
          <w:szCs w:val="20"/>
        </w:rPr>
        <w:t xml:space="preserve">. </w:t>
      </w:r>
    </w:p>
    <w:p w14:paraId="703CA290"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In the broader K-pop industry, the male gaze often shapes how female idols are portrayed, creating an environment where beauty standards are reinforced through commercial and artistic expressions. These representations influence how women perceive themselves and their worth, often limiting their agency within the industry. ‘NXDE’ counters this trend by portraying femininity as a source of agency and resilience, suggesting that women’s value is intrinsic rather than externally validated. Such a stance is particularly subversive within K-pop, where commercialization frequently aligns femininity with submissiveness </w:t>
      </w:r>
      <w:r>
        <w:rPr>
          <w:color w:val="000000"/>
          <w:sz w:val="20"/>
          <w:szCs w:val="20"/>
        </w:rPr>
        <w:fldChar w:fldCharType="begin"/>
      </w:r>
      <w:r>
        <w:rPr>
          <w:color w:val="000000"/>
          <w:sz w:val="20"/>
          <w:szCs w:val="20"/>
        </w:rPr>
        <w:instrText xml:space="preserve"> ADDIN ZOTERO_ITEM CSL_CITATION {"citationID":"E0VxmHCE","properties":{"formattedCitation":"(Oh &amp; Kim, 2023)","plainCitation":"(Oh &amp; Kim, 2023)","noteIndex":0},"citationItems":[{"id":878,"uris":["http://zotero.org/users/local/MvyTXXMq/items/NSYLFQ29"],"itemData":{"id":878,"type":"article-journal","container-title":"Asia Pacific Business Review","DOI":"https://doi.org/10.1080/13602381.2022.2145007","issue":"5","page":"1300-1323","title":"Gendered Melancholia as Cultural Branding: Fandom Participation in the K-pop Community","volume":"29","author":[{"family":"Oh","given":"I."},{"family":"Kim","given":"K."}],"issued":{"date-parts":[["2023"]]}}}],"schema":"https://github.com/citation-style-language/schema/raw/master/csl-citation.json"} </w:instrText>
      </w:r>
      <w:r>
        <w:rPr>
          <w:color w:val="000000"/>
          <w:sz w:val="20"/>
          <w:szCs w:val="20"/>
        </w:rPr>
        <w:fldChar w:fldCharType="separate"/>
      </w:r>
      <w:r>
        <w:rPr>
          <w:noProof/>
          <w:color w:val="000000"/>
          <w:sz w:val="20"/>
          <w:szCs w:val="20"/>
        </w:rPr>
        <w:t>(Oh &amp; Kim, 2023)</w:t>
      </w:r>
      <w:r>
        <w:rPr>
          <w:color w:val="000000"/>
          <w:sz w:val="20"/>
          <w:szCs w:val="20"/>
        </w:rPr>
        <w:fldChar w:fldCharType="end"/>
      </w:r>
      <w:r>
        <w:rPr>
          <w:color w:val="000000"/>
          <w:sz w:val="20"/>
          <w:szCs w:val="20"/>
        </w:rPr>
        <w:t xml:space="preserve">. </w:t>
      </w:r>
    </w:p>
    <w:p w14:paraId="61356945"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The ‘girl crush’ genre, exemplified by songs like (G)I-DLE’s ‘Tomboy,’ occupies a unique space within K-pop, where it both empowers and commodifies. While this genre ostensibly celebrates strength and independence, it also reveals the limitations of celebrity feminism, where empowerment can sometimes feel performative rather than transformative. This tension highlights the complexities within K-pop’s portrayal of femininity, as the genre balances genuine feminist messages with commercial demands </w:t>
      </w:r>
      <w:r>
        <w:rPr>
          <w:color w:val="000000"/>
          <w:sz w:val="20"/>
          <w:szCs w:val="20"/>
        </w:rPr>
        <w:fldChar w:fldCharType="begin"/>
      </w:r>
      <w:r>
        <w:rPr>
          <w:color w:val="000000"/>
          <w:sz w:val="20"/>
          <w:szCs w:val="20"/>
        </w:rPr>
        <w:instrText xml:space="preserve"> ADDIN ZOTERO_ITEM CSL_CITATION {"citationID":"LrhZtmEY","properties":{"formattedCitation":"(Nandakumar, 2023)","plainCitation":"(Nandakumar, 2023)","noteIndex":0},"citationItems":[{"id":879,"uris":["http://zotero.org/users/local/MvyTXXMq/items/C74QNYWH"],"itemData":{"id":879,"type":"article-journal","container-title":"Studes in South Asian Film &amp; Media","issue":"June","page":"27-42","title":"K-pop Fandom as 'Sub-Visible Culture': Digital Work and Enjoyment in the Precarious Present","volume":"15","author":[{"family":"Nandakumar","given":"Aparna"}],"issued":{"date-parts":[["2023"]]}}}],"schema":"https://github.com/citation-style-language/schema/raw/master/csl-citation.json"} </w:instrText>
      </w:r>
      <w:r>
        <w:rPr>
          <w:color w:val="000000"/>
          <w:sz w:val="20"/>
          <w:szCs w:val="20"/>
        </w:rPr>
        <w:fldChar w:fldCharType="separate"/>
      </w:r>
      <w:r>
        <w:rPr>
          <w:noProof/>
          <w:color w:val="000000"/>
          <w:sz w:val="20"/>
          <w:szCs w:val="20"/>
        </w:rPr>
        <w:t>(Nandakumar, 2023)</w:t>
      </w:r>
      <w:r>
        <w:rPr>
          <w:color w:val="000000"/>
          <w:sz w:val="20"/>
          <w:szCs w:val="20"/>
        </w:rPr>
        <w:fldChar w:fldCharType="end"/>
      </w:r>
      <w:r>
        <w:rPr>
          <w:color w:val="000000"/>
          <w:sz w:val="20"/>
          <w:szCs w:val="20"/>
        </w:rPr>
        <w:t xml:space="preserve">. Nevertheless, ‘NXDE’ pushes the boundaries of this genre by presenting empowerment not as a marketing tool but as an intrinsic message that encourages women to reclaim control over their narratives. </w:t>
      </w:r>
    </w:p>
    <w:p w14:paraId="591458C0"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Jewelry, another key symbol in ‘NXDE,’ is reinterpreted in the music video to signify autonomy and self-worth. Traditionally, diamonds have been used to imply wealth, status, and sometimes a form of dependency on male validation, especially in media portrayals. However, (G)I-DLE reclaims this symbol, using it to express dignity and strength rather than materialism or male approval. In this context, the diamond accessories serve as metaphors for resilience, suggesting that self-worth is self-defined and cannot be commodified or reduced to external validation </w:t>
      </w:r>
      <w:r>
        <w:rPr>
          <w:color w:val="000000"/>
          <w:sz w:val="20"/>
          <w:szCs w:val="20"/>
        </w:rPr>
        <w:fldChar w:fldCharType="begin"/>
      </w:r>
      <w:r>
        <w:rPr>
          <w:color w:val="000000"/>
          <w:sz w:val="20"/>
          <w:szCs w:val="20"/>
        </w:rPr>
        <w:instrText xml:space="preserve"> ADDIN ZOTERO_ITEM CSL_CITATION {"citationID":"UqlBO84d","properties":{"formattedCitation":"(Milestone &amp; Meyer, 2020)","plainCitation":"(Milestone &amp; Meyer, 2020)","noteIndex":0},"citationItems":[{"id":844,"uris":["http://zotero.org/users/local/MvyTXXMq/items/QVDIHMHR"],"itemData":{"id":844,"type":"book","event-place":"Cambridge","publisher":"John Wiley &amp; Sons.","publisher-place":"Cambridge","title":"Gender and popular culture","author":[{"family":"Milestone","given":"K."},{"family":"Meyer","given":"A."}],"issued":{"date-parts":[["2020"]]}}}],"schema":"https://github.com/citation-style-language/schema/raw/master/csl-citation.json"} </w:instrText>
      </w:r>
      <w:r>
        <w:rPr>
          <w:color w:val="000000"/>
          <w:sz w:val="20"/>
          <w:szCs w:val="20"/>
        </w:rPr>
        <w:fldChar w:fldCharType="separate"/>
      </w:r>
      <w:r>
        <w:rPr>
          <w:noProof/>
          <w:color w:val="000000"/>
          <w:sz w:val="20"/>
          <w:szCs w:val="20"/>
        </w:rPr>
        <w:t>(Milestone &amp; Meyer, 2020)</w:t>
      </w:r>
      <w:r>
        <w:rPr>
          <w:color w:val="000000"/>
          <w:sz w:val="20"/>
          <w:szCs w:val="20"/>
        </w:rPr>
        <w:fldChar w:fldCharType="end"/>
      </w:r>
      <w:r>
        <w:rPr>
          <w:color w:val="000000"/>
          <w:sz w:val="20"/>
          <w:szCs w:val="20"/>
        </w:rPr>
        <w:t xml:space="preserve">. </w:t>
      </w:r>
    </w:p>
    <w:p w14:paraId="7C9DB209"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Through these symbolic choices, (G)I-DLE’s ‘NXDE’ establishes itself as more than a music video; it’s a bold commentary on the objectification and stereotyping of women, both within and beyond K-pop. The use of familiar aesthetics, such as red for power and diamonds for intrinsic worth, challenges the viewer to reconsider the constructed narratives surrounding femininity. By doing so, (G)I-DLE addresses audiences directly, urging them to look beyond the surface and recognize the societal structures that contributes to these portrayals. </w:t>
      </w:r>
    </w:p>
    <w:p w14:paraId="48C3FFE0"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This critique of objectification transcends South Korea’s cultural boundaries, engaging with international discourses on gender and empowerment. By integrating elements of both South Korean tradition and Western iconography, (G)I-DLE positions ‘NXDE’ as a work of cross-cultural relevance. In an era where K-pop is a global phenomenon, this blending of influences illustrates the universal nature of their message, resonating with audiences who may have witnessed similar objectification in Western media. </w:t>
      </w:r>
    </w:p>
    <w:p w14:paraId="223C10EA"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‘NXDE’ exemplifies how K-pop, often dismissed as adhering to formulaic representations of beauty, can evolve into a platform for feminist discourse. The video demonstrates that visual media within popular music can serve as a powerful vehicle for social critique, inspiring conversations about the complexities of </w:t>
      </w:r>
      <w:proofErr w:type="spellStart"/>
      <w:r>
        <w:rPr>
          <w:color w:val="000000"/>
          <w:sz w:val="20"/>
          <w:szCs w:val="20"/>
        </w:rPr>
        <w:t>feminity</w:t>
      </w:r>
      <w:proofErr w:type="spellEnd"/>
      <w:r>
        <w:rPr>
          <w:color w:val="000000"/>
          <w:sz w:val="20"/>
          <w:szCs w:val="20"/>
        </w:rPr>
        <w:t xml:space="preserve">, agency, and the constraints imposed by traditional gender roles. This approach positions (G)I-DLE as artists who not only reflect but actively reshape the discourse on gender within K-pop, making a significant contribution to the genre’s potential for cultural and social impact. </w:t>
      </w:r>
    </w:p>
    <w:p w14:paraId="7561A0FE"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ab/>
      </w:r>
      <w:r>
        <w:rPr>
          <w:color w:val="000000"/>
          <w:sz w:val="20"/>
          <w:szCs w:val="20"/>
        </w:rPr>
        <w:tab/>
        <w:t xml:space="preserve">(G)I-DLE’s ‘NXDE’ goes beyond entertainment, utilizing K-pop’s global platform to engage in a critical discourse on gender norms and objectification. By embedding layered symbols within their visuals, they encourage viewers to look critically at the media they consume and to question the values that are often embedded within it. This video not only challenges traditional portrayals of women in K-pop but also advocates for a broader, more nuanced understanding of femininity -one that embraces complexity, autonomy, and self-worth across cultural divides. </w:t>
      </w:r>
    </w:p>
    <w:p w14:paraId="3D6A351F" w14:textId="77777777" w:rsidR="00640082" w:rsidRDefault="00640082" w:rsidP="000409FE">
      <w:pPr>
        <w:pStyle w:val="NormalWeb"/>
        <w:spacing w:before="0" w:beforeAutospacing="0" w:after="0" w:afterAutospacing="0"/>
        <w:ind w:left="709"/>
        <w:jc w:val="both"/>
        <w:rPr>
          <w:color w:val="000000"/>
          <w:sz w:val="20"/>
          <w:szCs w:val="20"/>
        </w:rPr>
      </w:pPr>
    </w:p>
    <w:p w14:paraId="2E84C20D" w14:textId="77777777" w:rsidR="00640082" w:rsidRDefault="00640082" w:rsidP="000409FE">
      <w:pPr>
        <w:pStyle w:val="NormalWeb"/>
        <w:spacing w:before="0" w:beforeAutospacing="0" w:after="0" w:afterAutospacing="0"/>
        <w:ind w:left="709"/>
        <w:jc w:val="both"/>
        <w:rPr>
          <w:color w:val="000000"/>
          <w:sz w:val="20"/>
          <w:szCs w:val="20"/>
        </w:rPr>
      </w:pPr>
      <w:r>
        <w:rPr>
          <w:color w:val="000000"/>
          <w:sz w:val="20"/>
          <w:szCs w:val="20"/>
        </w:rPr>
        <w:t xml:space="preserve">This narrow to Andrea Dworkins Indicators to radical Feminism point five and six that talk about </w:t>
      </w:r>
      <w:proofErr w:type="gramStart"/>
      <w:r>
        <w:rPr>
          <w:color w:val="000000"/>
          <w:sz w:val="20"/>
          <w:szCs w:val="20"/>
        </w:rPr>
        <w:t>“ women</w:t>
      </w:r>
      <w:proofErr w:type="gramEnd"/>
      <w:r>
        <w:rPr>
          <w:color w:val="000000"/>
          <w:sz w:val="20"/>
          <w:szCs w:val="20"/>
        </w:rPr>
        <w:t xml:space="preserve"> are getting </w:t>
      </w:r>
      <w:proofErr w:type="spellStart"/>
      <w:r>
        <w:rPr>
          <w:color w:val="000000"/>
          <w:sz w:val="20"/>
          <w:szCs w:val="20"/>
        </w:rPr>
        <w:t>ereased</w:t>
      </w:r>
      <w:proofErr w:type="spellEnd"/>
      <w:r>
        <w:rPr>
          <w:color w:val="000000"/>
          <w:sz w:val="20"/>
          <w:szCs w:val="20"/>
        </w:rPr>
        <w:t xml:space="preserve"> as </w:t>
      </w:r>
      <w:proofErr w:type="gramStart"/>
      <w:r>
        <w:rPr>
          <w:color w:val="000000"/>
          <w:sz w:val="20"/>
          <w:szCs w:val="20"/>
        </w:rPr>
        <w:t>individual”  and</w:t>
      </w:r>
      <w:proofErr w:type="gramEnd"/>
      <w:r>
        <w:rPr>
          <w:color w:val="000000"/>
          <w:sz w:val="20"/>
          <w:szCs w:val="20"/>
        </w:rPr>
        <w:t xml:space="preserve"> “</w:t>
      </w:r>
      <w:r w:rsidRPr="00850FE6">
        <w:rPr>
          <w:color w:val="000000"/>
          <w:sz w:val="20"/>
          <w:szCs w:val="20"/>
        </w:rPr>
        <w:t>women are considered the property of men</w:t>
      </w:r>
      <w:r>
        <w:rPr>
          <w:color w:val="000000"/>
          <w:sz w:val="20"/>
          <w:szCs w:val="20"/>
        </w:rPr>
        <w:t>”</w:t>
      </w:r>
    </w:p>
    <w:p w14:paraId="361533C1" w14:textId="77777777" w:rsidR="00640082" w:rsidRPr="000409FE" w:rsidRDefault="00640082" w:rsidP="000409FE">
      <w:pPr>
        <w:pStyle w:val="NormalWeb"/>
        <w:spacing w:before="0" w:beforeAutospacing="0" w:after="0" w:afterAutospacing="0"/>
        <w:ind w:left="709"/>
        <w:jc w:val="both"/>
        <w:rPr>
          <w:color w:val="000000"/>
          <w:sz w:val="20"/>
          <w:szCs w:val="20"/>
        </w:rPr>
      </w:pPr>
    </w:p>
    <w:p w14:paraId="666F5471" w14:textId="77777777" w:rsidR="00640082" w:rsidRPr="007B43A3" w:rsidRDefault="00640082" w:rsidP="00822617">
      <w:pPr>
        <w:pStyle w:val="ListParagraph"/>
        <w:numPr>
          <w:ilvl w:val="0"/>
          <w:numId w:val="18"/>
        </w:numPr>
        <w:spacing w:line="240" w:lineRule="auto"/>
        <w:rPr>
          <w:rFonts w:ascii="Times New Roman" w:hAnsi="Times New Roman" w:cs="Times New Roman"/>
          <w:b/>
          <w:bCs/>
          <w:sz w:val="24"/>
          <w:szCs w:val="24"/>
          <w:lang w:val="en-US"/>
        </w:rPr>
      </w:pPr>
      <w:r w:rsidRPr="007B43A3">
        <w:rPr>
          <w:rFonts w:ascii="Times New Roman" w:hAnsi="Times New Roman" w:cs="Times New Roman"/>
          <w:b/>
          <w:bCs/>
          <w:sz w:val="24"/>
          <w:szCs w:val="24"/>
          <w:lang w:val="en-US"/>
        </w:rPr>
        <w:t xml:space="preserve">Conclusions </w:t>
      </w:r>
    </w:p>
    <w:p w14:paraId="58077161" w14:textId="77777777" w:rsidR="00640082" w:rsidRDefault="00640082" w:rsidP="00395D5E">
      <w:pPr>
        <w:pStyle w:val="NormalWeb"/>
        <w:spacing w:before="0" w:beforeAutospacing="0" w:after="0" w:afterAutospacing="0"/>
        <w:ind w:left="720" w:firstLine="720"/>
        <w:jc w:val="both"/>
        <w:rPr>
          <w:color w:val="000000"/>
          <w:sz w:val="20"/>
          <w:szCs w:val="20"/>
        </w:rPr>
      </w:pPr>
      <w:r>
        <w:rPr>
          <w:color w:val="000000"/>
          <w:sz w:val="20"/>
          <w:szCs w:val="20"/>
        </w:rPr>
        <w:t>The ‘</w:t>
      </w:r>
      <w:r>
        <w:rPr>
          <w:i/>
          <w:iCs/>
          <w:color w:val="000000"/>
          <w:sz w:val="20"/>
          <w:szCs w:val="20"/>
        </w:rPr>
        <w:t>NXDE’</w:t>
      </w:r>
      <w:r>
        <w:rPr>
          <w:color w:val="000000"/>
          <w:sz w:val="20"/>
          <w:szCs w:val="20"/>
        </w:rPr>
        <w:t xml:space="preserve"> music video by (G)I-DLE functions as a potent medium for social critique, employing semiotic elements to confront the objectification of women pervasive in both Western and South Korean media. Through a rich combination of visual symbolism and feminist ideology, the video delivers a layered critique of patriarchal norms that restrict and commodify female identity. By subverting traditional symbols and reinterpreting historical stereotypes, (G)I-DLE challenges these restrictive narratives, offering an alternative view of femininity that is grounded in autonomy and dignity. This integration of semiotic analysis reveals how the group uses K-pop’s influential platform to advocate for gender equality, suggesting that popular culture can be a transformative space for feminist discourse and resistance. </w:t>
      </w:r>
    </w:p>
    <w:p w14:paraId="30957985" w14:textId="77777777" w:rsidR="00640082" w:rsidRDefault="00640082" w:rsidP="00395D5E">
      <w:pPr>
        <w:pStyle w:val="NormalWeb"/>
        <w:spacing w:before="0" w:beforeAutospacing="0" w:after="0" w:afterAutospacing="0"/>
        <w:ind w:left="720" w:firstLine="720"/>
        <w:jc w:val="both"/>
        <w:rPr>
          <w:color w:val="000000"/>
          <w:sz w:val="20"/>
          <w:szCs w:val="20"/>
        </w:rPr>
      </w:pPr>
      <w:r>
        <w:rPr>
          <w:color w:val="000000"/>
          <w:sz w:val="20"/>
          <w:szCs w:val="20"/>
        </w:rPr>
        <w:t xml:space="preserve">This study opens pathways for further investigation into gender representation within K-pop media and its role in global feminist movements. The cultural influence of K-pop’s vast international reach suggests that its representations of gender have significant implications for audiences worldwide. Future research could explore how gender portrayals in K-pop are shaping perceptions of femininity and feminism on a global scale, examining the impact of these portrayals on both fans and broader social movements. Additionally, investigating audience reception and analyzing the real-world influence of feminist messages in K-pop and other popular media could provide insight into how media-driven activism translates into social attitudes and behaviors, particularly within youth demographics. </w:t>
      </w:r>
    </w:p>
    <w:p w14:paraId="7163B0A4" w14:textId="77777777" w:rsidR="00640082" w:rsidRPr="0026385D" w:rsidRDefault="00640082" w:rsidP="00395D5E">
      <w:pPr>
        <w:pStyle w:val="NormalWeb"/>
        <w:spacing w:before="0" w:beforeAutospacing="0" w:after="0" w:afterAutospacing="0"/>
        <w:ind w:left="720" w:firstLine="720"/>
        <w:jc w:val="both"/>
        <w:rPr>
          <w:color w:val="000000"/>
          <w:sz w:val="20"/>
          <w:szCs w:val="20"/>
        </w:rPr>
      </w:pPr>
      <w:r>
        <w:rPr>
          <w:color w:val="000000"/>
          <w:sz w:val="20"/>
          <w:szCs w:val="20"/>
        </w:rPr>
        <w:t xml:space="preserve">This study focuses on the visual and semiotic elements within a single music video, limiting the scope of analysis to this particular artifact. To achieve a more comprehensive understanding of feminist representation in K-pop and its societal effects, future research should include a comparative analysis of multiple media forms within the industry, such as music videos, fan interactions, and interviews. Additionally, integrating public responses, including audience feedback and media critiques, would allow researchers to examine the broader cultural resonance and effectiveness of feminist messages in K-pop. Expanding the study in these directions would yield a more nuanced view of how feminist ideologies are communicated and received within popular culture. </w:t>
      </w:r>
    </w:p>
    <w:p w14:paraId="187C6ECE" w14:textId="77777777" w:rsidR="00640082" w:rsidRDefault="00640082" w:rsidP="00395D5E">
      <w:pPr>
        <w:pStyle w:val="NormalWeb"/>
        <w:spacing w:before="0" w:beforeAutospacing="0" w:after="0" w:afterAutospacing="0"/>
        <w:ind w:left="720" w:firstLine="720"/>
        <w:jc w:val="both"/>
        <w:rPr>
          <w:color w:val="000000"/>
          <w:sz w:val="20"/>
          <w:szCs w:val="20"/>
        </w:rPr>
      </w:pPr>
    </w:p>
    <w:p w14:paraId="78B3859C" w14:textId="5904D438" w:rsidR="00640082" w:rsidRPr="00142D35" w:rsidRDefault="00640082" w:rsidP="00142D35">
      <w:pPr>
        <w:pStyle w:val="NormalWeb"/>
        <w:spacing w:before="0" w:beforeAutospacing="0" w:after="0" w:afterAutospacing="0"/>
        <w:ind w:left="717"/>
        <w:jc w:val="both"/>
        <w:rPr>
          <w:b/>
          <w:bCs/>
          <w:color w:val="000000"/>
        </w:rPr>
      </w:pPr>
      <w:r w:rsidRPr="007B43A3">
        <w:rPr>
          <w:b/>
          <w:bCs/>
          <w:color w:val="000000"/>
        </w:rPr>
        <w:t xml:space="preserve">Reference </w:t>
      </w:r>
      <w:r>
        <w:rPr>
          <w:sz w:val="18"/>
          <w:szCs w:val="18"/>
        </w:rPr>
        <w:tab/>
      </w:r>
    </w:p>
    <w:p w14:paraId="1A19BB65"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sv-SE"/>
        </w:rPr>
      </w:pPr>
      <w:r w:rsidRPr="00A714D2">
        <w:rPr>
          <w:rFonts w:asciiTheme="minorHAnsi" w:hAnsiTheme="minorHAnsi" w:cstheme="minorBidi"/>
          <w:sz w:val="20"/>
          <w:szCs w:val="20"/>
          <w:lang w:val="en-US"/>
        </w:rPr>
        <w:fldChar w:fldCharType="begin"/>
      </w:r>
      <w:r w:rsidRPr="00A714D2">
        <w:rPr>
          <w:sz w:val="20"/>
          <w:szCs w:val="20"/>
          <w:lang w:val="en-US"/>
        </w:rPr>
        <w:instrText xml:space="preserve"> ADDIN ZOTERO_BIBL {"uncited":[],"omitted":[],"custom":[]} CSL_BIBLIOGRAPHY </w:instrText>
      </w:r>
      <w:r w:rsidRPr="00A714D2">
        <w:rPr>
          <w:rFonts w:asciiTheme="minorHAnsi" w:hAnsiTheme="minorHAnsi" w:cstheme="minorBidi"/>
          <w:sz w:val="20"/>
          <w:szCs w:val="20"/>
          <w:lang w:val="en-US"/>
        </w:rPr>
        <w:fldChar w:fldCharType="separate"/>
      </w:r>
      <w:r w:rsidRPr="00A714D2">
        <w:rPr>
          <w:rFonts w:ascii="Times New Roman" w:hAnsi="Times New Roman" w:cs="Times New Roman"/>
          <w:i/>
          <w:iCs/>
          <w:sz w:val="20"/>
          <w:szCs w:val="24"/>
          <w:lang w:val="en-US"/>
        </w:rPr>
        <w:t>Annual Number of Outbound Touritst to the Americas from South Korea in 2023, by destination</w:t>
      </w:r>
      <w:r w:rsidRPr="00A714D2">
        <w:rPr>
          <w:rFonts w:ascii="Times New Roman" w:hAnsi="Times New Roman" w:cs="Times New Roman"/>
          <w:sz w:val="20"/>
          <w:szCs w:val="24"/>
          <w:lang w:val="en-US"/>
        </w:rPr>
        <w:t xml:space="preserve">. </w:t>
      </w:r>
      <w:r w:rsidRPr="00A714D2">
        <w:rPr>
          <w:rFonts w:ascii="Times New Roman" w:hAnsi="Times New Roman" w:cs="Times New Roman"/>
          <w:sz w:val="20"/>
          <w:szCs w:val="24"/>
          <w:lang w:val="sv-SE"/>
        </w:rPr>
        <w:t>(2024). Statista. https://www.statista.com/statistics/1451586/south-korea-outbound-tourists-to-the-americas-by-destination/</w:t>
      </w:r>
    </w:p>
    <w:p w14:paraId="6836BFC5"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Barthes, R. (1968). </w:t>
      </w:r>
      <w:r w:rsidRPr="00A714D2">
        <w:rPr>
          <w:rFonts w:ascii="Times New Roman" w:hAnsi="Times New Roman" w:cs="Times New Roman"/>
          <w:i/>
          <w:iCs/>
          <w:sz w:val="20"/>
          <w:szCs w:val="24"/>
          <w:lang w:val="en-US"/>
        </w:rPr>
        <w:t>Elements of semiology. Vol. 4.</w:t>
      </w:r>
      <w:r w:rsidRPr="00A714D2">
        <w:rPr>
          <w:rFonts w:ascii="Times New Roman" w:hAnsi="Times New Roman" w:cs="Times New Roman"/>
          <w:sz w:val="20"/>
          <w:szCs w:val="24"/>
          <w:lang w:val="en-US"/>
        </w:rPr>
        <w:t xml:space="preserve"> Macmillan. https://basearts.com/curriculum/PDF/netart/3773-elements_of_semiology_first.pdf</w:t>
      </w:r>
    </w:p>
    <w:p w14:paraId="1767DD9B"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Bolton, L. (2015). #Marilyneveryday: The persistence of Marilyn Monroe as a cultural icon. </w:t>
      </w:r>
      <w:r w:rsidRPr="00A714D2">
        <w:rPr>
          <w:rFonts w:ascii="Times New Roman" w:hAnsi="Times New Roman" w:cs="Times New Roman"/>
          <w:i/>
          <w:iCs/>
          <w:sz w:val="20"/>
          <w:szCs w:val="24"/>
          <w:lang w:val="en-US"/>
        </w:rPr>
        <w:t>Film, Fashion &amp; Consumption</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4</w:t>
      </w:r>
      <w:r w:rsidRPr="00A714D2">
        <w:rPr>
          <w:rFonts w:ascii="Times New Roman" w:hAnsi="Times New Roman" w:cs="Times New Roman"/>
          <w:sz w:val="20"/>
          <w:szCs w:val="24"/>
          <w:lang w:val="en-US"/>
        </w:rPr>
        <w:t>(2–3), 121–143. https://doi.org/10.1386/ffc.4.2-3.121_2</w:t>
      </w:r>
    </w:p>
    <w:p w14:paraId="06AD5283"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Brecher, B. (2015). Andrea Dworkin’s pornography: Men possessing women—A reassessment. In </w:t>
      </w:r>
      <w:r w:rsidRPr="00A714D2">
        <w:rPr>
          <w:rFonts w:ascii="Times New Roman" w:hAnsi="Times New Roman" w:cs="Times New Roman"/>
          <w:i/>
          <w:iCs/>
          <w:sz w:val="20"/>
          <w:szCs w:val="24"/>
          <w:lang w:val="en-US"/>
        </w:rPr>
        <w:t>Women and Violence: The Agency of Victims and Perpetrators</w:t>
      </w:r>
      <w:r w:rsidRPr="00A714D2">
        <w:rPr>
          <w:rFonts w:ascii="Times New Roman" w:hAnsi="Times New Roman" w:cs="Times New Roman"/>
          <w:sz w:val="20"/>
          <w:szCs w:val="24"/>
          <w:lang w:val="en-US"/>
        </w:rPr>
        <w:t xml:space="preserve"> (pp. 145–161). Palgrave Macmillan.</w:t>
      </w:r>
    </w:p>
    <w:p w14:paraId="42431ED7"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Canevaro, L. G. \. (2018). </w:t>
      </w:r>
      <w:r w:rsidRPr="00A714D2">
        <w:rPr>
          <w:rFonts w:ascii="Times New Roman" w:hAnsi="Times New Roman" w:cs="Times New Roman"/>
          <w:i/>
          <w:iCs/>
          <w:sz w:val="20"/>
          <w:szCs w:val="24"/>
          <w:lang w:val="en-US"/>
        </w:rPr>
        <w:t>Women of Substance in Homeric Epic: Objects, Gender, Agency.</w:t>
      </w:r>
      <w:r w:rsidRPr="00A714D2">
        <w:rPr>
          <w:rFonts w:ascii="Times New Roman" w:hAnsi="Times New Roman" w:cs="Times New Roman"/>
          <w:sz w:val="20"/>
          <w:szCs w:val="24"/>
          <w:lang w:val="en-US"/>
        </w:rPr>
        <w:t xml:space="preserve"> Oxford University Press.</w:t>
      </w:r>
    </w:p>
    <w:p w14:paraId="2403013D"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Chang, J. (2020). New Gender Perspectives: Soft Creator and Strong Advocator in the New Korean Wave Era. </w:t>
      </w:r>
      <w:r w:rsidRPr="00A714D2">
        <w:rPr>
          <w:rFonts w:ascii="Times New Roman" w:hAnsi="Times New Roman" w:cs="Times New Roman"/>
          <w:i/>
          <w:iCs/>
          <w:sz w:val="20"/>
          <w:szCs w:val="24"/>
          <w:lang w:val="en-US"/>
        </w:rPr>
        <w:t>Asian Women</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36</w:t>
      </w:r>
      <w:r w:rsidRPr="00A714D2">
        <w:rPr>
          <w:rFonts w:ascii="Times New Roman" w:hAnsi="Times New Roman" w:cs="Times New Roman"/>
          <w:sz w:val="20"/>
          <w:szCs w:val="24"/>
          <w:lang w:val="en-US"/>
        </w:rPr>
        <w:t>(4), 67–84. https://doi.org/10.14431/aw.2020.12.36.4.67</w:t>
      </w:r>
    </w:p>
    <w:p w14:paraId="2253408D"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Chen, S., &amp; Zhang, Y. (2023). Bondage of Standard: Interaction between K-pop Culture and Male Gaze. </w:t>
      </w:r>
      <w:r w:rsidRPr="00A714D2">
        <w:rPr>
          <w:rFonts w:ascii="Times New Roman" w:hAnsi="Times New Roman" w:cs="Times New Roman"/>
          <w:i/>
          <w:iCs/>
          <w:sz w:val="20"/>
          <w:szCs w:val="24"/>
          <w:lang w:val="en-US"/>
        </w:rPr>
        <w:t>Cultural Studies Review.</w:t>
      </w:r>
      <w:r w:rsidRPr="00A714D2">
        <w:rPr>
          <w:rFonts w:ascii="Times New Roman" w:hAnsi="Times New Roman" w:cs="Times New Roman"/>
          <w:sz w:val="20"/>
          <w:szCs w:val="24"/>
          <w:lang w:val="en-US"/>
        </w:rPr>
        <w:t xml:space="preserve"> https://doi.org/DOI: 10.54254/2753-7064/10/20231275</w:t>
      </w:r>
    </w:p>
    <w:p w14:paraId="6EE02E52"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Corcos, A. F. (2016). </w:t>
      </w:r>
      <w:r w:rsidRPr="00A714D2">
        <w:rPr>
          <w:rFonts w:ascii="Times New Roman" w:hAnsi="Times New Roman" w:cs="Times New Roman"/>
          <w:i/>
          <w:iCs/>
          <w:sz w:val="20"/>
          <w:szCs w:val="24"/>
          <w:lang w:val="en-US"/>
        </w:rPr>
        <w:t>The myth of human races.</w:t>
      </w:r>
      <w:r w:rsidRPr="00A714D2">
        <w:rPr>
          <w:rFonts w:ascii="Times New Roman" w:hAnsi="Times New Roman" w:cs="Times New Roman"/>
          <w:sz w:val="20"/>
          <w:szCs w:val="24"/>
          <w:lang w:val="en-US"/>
        </w:rPr>
        <w:t xml:space="preserve"> Wheatmark, Inc.</w:t>
      </w:r>
    </w:p>
    <w:p w14:paraId="295DFC79"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Hall, J. (2018). </w:t>
      </w:r>
      <w:r w:rsidRPr="00A714D2">
        <w:rPr>
          <w:rFonts w:ascii="Times New Roman" w:hAnsi="Times New Roman" w:cs="Times New Roman"/>
          <w:i/>
          <w:iCs/>
          <w:sz w:val="20"/>
          <w:szCs w:val="24"/>
          <w:lang w:val="en-US"/>
        </w:rPr>
        <w:t>Illustrated dictionary of symbols in Eastern and Western art.</w:t>
      </w:r>
      <w:r w:rsidRPr="00A714D2">
        <w:rPr>
          <w:rFonts w:ascii="Times New Roman" w:hAnsi="Times New Roman" w:cs="Times New Roman"/>
          <w:sz w:val="20"/>
          <w:szCs w:val="24"/>
          <w:lang w:val="en-US"/>
        </w:rPr>
        <w:t xml:space="preserve"> Routledge.</w:t>
      </w:r>
    </w:p>
    <w:p w14:paraId="15AB6B07"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Hamdon, S. W., &amp; Timur, F. B. (2020). Feminism against beauty standards in South Korea: Force creates resistance. </w:t>
      </w:r>
      <w:r w:rsidRPr="00A714D2">
        <w:rPr>
          <w:rFonts w:ascii="Times New Roman" w:hAnsi="Times New Roman" w:cs="Times New Roman"/>
          <w:i/>
          <w:iCs/>
          <w:sz w:val="20"/>
          <w:szCs w:val="24"/>
          <w:lang w:val="en-US"/>
        </w:rPr>
        <w:t>Journal of Techno-Social</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12</w:t>
      </w:r>
      <w:r w:rsidRPr="00A714D2">
        <w:rPr>
          <w:rFonts w:ascii="Times New Roman" w:hAnsi="Times New Roman" w:cs="Times New Roman"/>
          <w:sz w:val="20"/>
          <w:szCs w:val="24"/>
          <w:lang w:val="en-US"/>
        </w:rPr>
        <w:t>(2), 69–74. https://penerbit.uthm.edu.my/ojs/index.php/JTS/article/view/8004</w:t>
      </w:r>
    </w:p>
    <w:p w14:paraId="6C35A071"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Handzo, S. (2019). </w:t>
      </w:r>
      <w:r w:rsidRPr="00A714D2">
        <w:rPr>
          <w:rFonts w:ascii="Times New Roman" w:hAnsi="Times New Roman" w:cs="Times New Roman"/>
          <w:i/>
          <w:iCs/>
          <w:sz w:val="20"/>
          <w:szCs w:val="24"/>
          <w:lang w:val="en-US"/>
        </w:rPr>
        <w:t>Hollywood and the Female Body: A History of Idolization and Objectification.</w:t>
      </w:r>
      <w:r w:rsidRPr="00A714D2">
        <w:rPr>
          <w:rFonts w:ascii="Times New Roman" w:hAnsi="Times New Roman" w:cs="Times New Roman"/>
          <w:sz w:val="20"/>
          <w:szCs w:val="24"/>
          <w:lang w:val="en-US"/>
        </w:rPr>
        <w:t xml:space="preserve"> McFarland.</w:t>
      </w:r>
    </w:p>
    <w:p w14:paraId="6058F208"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Harvey, A. (2019). </w:t>
      </w:r>
      <w:r w:rsidRPr="00A714D2">
        <w:rPr>
          <w:rFonts w:ascii="Times New Roman" w:hAnsi="Times New Roman" w:cs="Times New Roman"/>
          <w:i/>
          <w:iCs/>
          <w:sz w:val="20"/>
          <w:szCs w:val="24"/>
          <w:lang w:val="en-US"/>
        </w:rPr>
        <w:t>Feminist media studies</w:t>
      </w:r>
      <w:r w:rsidRPr="00A714D2">
        <w:rPr>
          <w:rFonts w:ascii="Times New Roman" w:hAnsi="Times New Roman" w:cs="Times New Roman"/>
          <w:sz w:val="20"/>
          <w:szCs w:val="24"/>
          <w:lang w:val="en-US"/>
        </w:rPr>
        <w:t>. John Wiley &amp; Sons.</w:t>
      </w:r>
    </w:p>
    <w:p w14:paraId="4F49F4CC"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Hollows, J. (2024). Feminism, cultural studies and popular culture. In </w:t>
      </w:r>
      <w:r w:rsidRPr="00A714D2">
        <w:rPr>
          <w:rFonts w:ascii="Times New Roman" w:hAnsi="Times New Roman" w:cs="Times New Roman"/>
          <w:i/>
          <w:iCs/>
          <w:sz w:val="20"/>
          <w:szCs w:val="24"/>
          <w:lang w:val="en-US"/>
        </w:rPr>
        <w:t>Feminism, Femininity and Popular Culture</w:t>
      </w:r>
      <w:r w:rsidRPr="00A714D2">
        <w:rPr>
          <w:rFonts w:ascii="Times New Roman" w:hAnsi="Times New Roman" w:cs="Times New Roman"/>
          <w:sz w:val="20"/>
          <w:szCs w:val="24"/>
          <w:lang w:val="en-US"/>
        </w:rPr>
        <w:t xml:space="preserve"> (pp. 19–36). Manchester University Press.</w:t>
      </w:r>
    </w:p>
    <w:p w14:paraId="6341126B"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sv-SE"/>
        </w:rPr>
      </w:pPr>
      <w:r w:rsidRPr="00A714D2">
        <w:rPr>
          <w:rFonts w:ascii="Times New Roman" w:hAnsi="Times New Roman" w:cs="Times New Roman"/>
          <w:sz w:val="20"/>
          <w:szCs w:val="24"/>
          <w:lang w:val="en-US"/>
        </w:rPr>
        <w:t xml:space="preserve">Hughes, B. (2019). </w:t>
      </w:r>
      <w:r w:rsidRPr="00A714D2">
        <w:rPr>
          <w:rFonts w:ascii="Times New Roman" w:hAnsi="Times New Roman" w:cs="Times New Roman"/>
          <w:i/>
          <w:iCs/>
          <w:sz w:val="20"/>
          <w:szCs w:val="24"/>
          <w:lang w:val="en-US"/>
        </w:rPr>
        <w:t>Venus and Aphrodite: History of a Goddess</w:t>
      </w:r>
      <w:r w:rsidRPr="00A714D2">
        <w:rPr>
          <w:rFonts w:ascii="Times New Roman" w:hAnsi="Times New Roman" w:cs="Times New Roman"/>
          <w:sz w:val="20"/>
          <w:szCs w:val="24"/>
          <w:lang w:val="en-US"/>
        </w:rPr>
        <w:t xml:space="preserve">. </w:t>
      </w:r>
      <w:r w:rsidRPr="00A714D2">
        <w:rPr>
          <w:rFonts w:ascii="Times New Roman" w:hAnsi="Times New Roman" w:cs="Times New Roman"/>
          <w:sz w:val="20"/>
          <w:szCs w:val="24"/>
          <w:lang w:val="sv-SE"/>
        </w:rPr>
        <w:t>Hachette UK.</w:t>
      </w:r>
    </w:p>
    <w:p w14:paraId="526C8AAE"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sv-SE"/>
        </w:rPr>
        <w:t xml:space="preserve">Jang, Y. S. (2024). </w:t>
      </w:r>
      <w:r w:rsidRPr="00A714D2">
        <w:rPr>
          <w:rFonts w:ascii="Times New Roman" w:hAnsi="Times New Roman" w:cs="Times New Roman"/>
          <w:sz w:val="20"/>
          <w:szCs w:val="24"/>
          <w:lang w:val="en-US"/>
        </w:rPr>
        <w:t xml:space="preserve">A Study on the Primary Color Value Setting of Yin and Yang Five Elements. </w:t>
      </w:r>
      <w:r w:rsidRPr="00A714D2">
        <w:rPr>
          <w:rFonts w:ascii="Times New Roman" w:hAnsi="Times New Roman" w:cs="Times New Roman"/>
          <w:i/>
          <w:iCs/>
          <w:sz w:val="20"/>
          <w:szCs w:val="24"/>
          <w:lang w:val="en-US"/>
        </w:rPr>
        <w:t>International Journal of Advanced Culture Technology</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12</w:t>
      </w:r>
      <w:r w:rsidRPr="00A714D2">
        <w:rPr>
          <w:rFonts w:ascii="Times New Roman" w:hAnsi="Times New Roman" w:cs="Times New Roman"/>
          <w:sz w:val="20"/>
          <w:szCs w:val="24"/>
          <w:lang w:val="en-US"/>
        </w:rPr>
        <w:t>(3), 52–56. https://doi.org/10.17703/IJACT.2024.12.3.52</w:t>
      </w:r>
    </w:p>
    <w:p w14:paraId="2911200F"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Karsay, K., Knoll, J., &amp; Matthes, J. (2018). Sexualizing media use and self-objectification: A meta-analysis. </w:t>
      </w:r>
      <w:r w:rsidRPr="00A714D2">
        <w:rPr>
          <w:rFonts w:ascii="Times New Roman" w:hAnsi="Times New Roman" w:cs="Times New Roman"/>
          <w:i/>
          <w:iCs/>
          <w:sz w:val="20"/>
          <w:szCs w:val="24"/>
          <w:lang w:val="en-US"/>
        </w:rPr>
        <w:t>Psychology of Women Quarterly</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42</w:t>
      </w:r>
      <w:r w:rsidRPr="00A714D2">
        <w:rPr>
          <w:rFonts w:ascii="Times New Roman" w:hAnsi="Times New Roman" w:cs="Times New Roman"/>
          <w:sz w:val="20"/>
          <w:szCs w:val="24"/>
          <w:lang w:val="en-US"/>
        </w:rPr>
        <w:t>(1), 9–28.</w:t>
      </w:r>
    </w:p>
    <w:p w14:paraId="1107BA0A"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Kim, J., Joo, S., Lee, K., &amp; Jun, H. (2022). Family values in South Korean society: Marital and sexual values in gender, age, and Protestantism contexts. </w:t>
      </w:r>
      <w:r w:rsidRPr="00A714D2">
        <w:rPr>
          <w:rFonts w:ascii="Times New Roman" w:hAnsi="Times New Roman" w:cs="Times New Roman"/>
          <w:i/>
          <w:iCs/>
          <w:sz w:val="20"/>
          <w:szCs w:val="24"/>
          <w:lang w:val="en-US"/>
        </w:rPr>
        <w:t>Journal of Population and Social Studies [JPSS]</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30</w:t>
      </w:r>
      <w:r w:rsidRPr="00A714D2">
        <w:rPr>
          <w:rFonts w:ascii="Times New Roman" w:hAnsi="Times New Roman" w:cs="Times New Roman"/>
          <w:sz w:val="20"/>
          <w:szCs w:val="24"/>
          <w:lang w:val="en-US"/>
        </w:rPr>
        <w:t>, 54–71. https://so03.tci-thaijo.org/index.php/jpss/article/view/255799</w:t>
      </w:r>
    </w:p>
    <w:p w14:paraId="7078DC42"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sv-SE"/>
        </w:rPr>
        <w:t xml:space="preserve">Lee, G. L., Sabuin, K. J. M., Manullang, P. P., &amp; Hutagalung, R. C. A. (2024). </w:t>
      </w:r>
      <w:r w:rsidRPr="00A714D2">
        <w:rPr>
          <w:rFonts w:ascii="Times New Roman" w:hAnsi="Times New Roman" w:cs="Times New Roman"/>
          <w:sz w:val="20"/>
          <w:szCs w:val="24"/>
          <w:lang w:val="en-US"/>
        </w:rPr>
        <w:t xml:space="preserve">Challenging the’Dumb Blonde’Stereotype: A Feminist and Intersectional Analysis of Gender and Professionalism in Legally Blonde (2001) Movie. </w:t>
      </w:r>
      <w:r w:rsidRPr="00A714D2">
        <w:rPr>
          <w:rFonts w:ascii="Times New Roman" w:hAnsi="Times New Roman" w:cs="Times New Roman"/>
          <w:i/>
          <w:iCs/>
          <w:sz w:val="20"/>
          <w:szCs w:val="24"/>
          <w:lang w:val="en-US"/>
        </w:rPr>
        <w:t>Boanerges: Makarios Education Journa</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96</w:t>
      </w:r>
      <w:r w:rsidRPr="00A714D2">
        <w:rPr>
          <w:rFonts w:ascii="Times New Roman" w:hAnsi="Times New Roman" w:cs="Times New Roman"/>
          <w:sz w:val="20"/>
          <w:szCs w:val="24"/>
          <w:lang w:val="en-US"/>
        </w:rPr>
        <w:t>.</w:t>
      </w:r>
    </w:p>
    <w:p w14:paraId="67A6CCE1"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Li, X. (2024). “Yea I’m a f* Tomboy”: “girl crush,” postfeminism, and the reimagining of K-pop femininity. </w:t>
      </w:r>
      <w:r w:rsidRPr="00A714D2">
        <w:rPr>
          <w:rFonts w:ascii="Times New Roman" w:hAnsi="Times New Roman" w:cs="Times New Roman"/>
          <w:i/>
          <w:iCs/>
          <w:sz w:val="20"/>
          <w:szCs w:val="24"/>
          <w:lang w:val="en-US"/>
        </w:rPr>
        <w:t>Social Semiotics</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34</w:t>
      </w:r>
      <w:r w:rsidRPr="00A714D2">
        <w:rPr>
          <w:rFonts w:ascii="Times New Roman" w:hAnsi="Times New Roman" w:cs="Times New Roman"/>
          <w:sz w:val="20"/>
          <w:szCs w:val="24"/>
          <w:lang w:val="en-US"/>
        </w:rPr>
        <w:t>(4), 576–592. https://doi.org/10.1080/10350330.2022.2150542</w:t>
      </w:r>
    </w:p>
    <w:p w14:paraId="050ECC27"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Mikkola, M. (2016). </w:t>
      </w:r>
      <w:r w:rsidRPr="00A714D2">
        <w:rPr>
          <w:rFonts w:ascii="Times New Roman" w:hAnsi="Times New Roman" w:cs="Times New Roman"/>
          <w:i/>
          <w:iCs/>
          <w:sz w:val="20"/>
          <w:szCs w:val="24"/>
          <w:lang w:val="en-US"/>
        </w:rPr>
        <w:t>The wrong of injustice: Dehumanization and its role in feminist philosophy.</w:t>
      </w:r>
      <w:r w:rsidRPr="00A714D2">
        <w:rPr>
          <w:rFonts w:ascii="Times New Roman" w:hAnsi="Times New Roman" w:cs="Times New Roman"/>
          <w:sz w:val="20"/>
          <w:szCs w:val="24"/>
          <w:lang w:val="en-US"/>
        </w:rPr>
        <w:t xml:space="preserve"> Oxford University Press.</w:t>
      </w:r>
    </w:p>
    <w:p w14:paraId="23BAA3AD"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Milestone, K., &amp; Meyer, A. (2020). </w:t>
      </w:r>
      <w:r w:rsidRPr="00A714D2">
        <w:rPr>
          <w:rFonts w:ascii="Times New Roman" w:hAnsi="Times New Roman" w:cs="Times New Roman"/>
          <w:i/>
          <w:iCs/>
          <w:sz w:val="20"/>
          <w:szCs w:val="24"/>
          <w:lang w:val="en-US"/>
        </w:rPr>
        <w:t>Gender and popular culture</w:t>
      </w:r>
      <w:r w:rsidRPr="00A714D2">
        <w:rPr>
          <w:rFonts w:ascii="Times New Roman" w:hAnsi="Times New Roman" w:cs="Times New Roman"/>
          <w:sz w:val="20"/>
          <w:szCs w:val="24"/>
          <w:lang w:val="en-US"/>
        </w:rPr>
        <w:t>. John Wiley &amp; Sons.</w:t>
      </w:r>
    </w:p>
    <w:p w14:paraId="4A25DD78"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Moon, M. (2024). Digital Sex Crime, Online Misogyny, and Digital Feminism in South Korea. </w:t>
      </w:r>
      <w:r w:rsidRPr="00A714D2">
        <w:rPr>
          <w:rFonts w:ascii="Times New Roman" w:hAnsi="Times New Roman" w:cs="Times New Roman"/>
          <w:i/>
          <w:iCs/>
          <w:sz w:val="20"/>
          <w:szCs w:val="24"/>
          <w:lang w:val="en-US"/>
        </w:rPr>
        <w:t>Georgetown Journal of International Affairs</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25</w:t>
      </w:r>
      <w:r w:rsidRPr="00A714D2">
        <w:rPr>
          <w:rFonts w:ascii="Times New Roman" w:hAnsi="Times New Roman" w:cs="Times New Roman"/>
          <w:sz w:val="20"/>
          <w:szCs w:val="24"/>
          <w:lang w:val="en-US"/>
        </w:rPr>
        <w:t>(1), 186–192. https://doi.org/10.1353/gia.2024.a934902</w:t>
      </w:r>
    </w:p>
    <w:p w14:paraId="29AE1239"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Nandakumar, A. (2023). K-pop Fandom as “Sub-Visible Culture”: Digital Work and Enjoyment in the Precarious Present. </w:t>
      </w:r>
      <w:r w:rsidRPr="00A714D2">
        <w:rPr>
          <w:rFonts w:ascii="Times New Roman" w:hAnsi="Times New Roman" w:cs="Times New Roman"/>
          <w:i/>
          <w:iCs/>
          <w:sz w:val="20"/>
          <w:szCs w:val="24"/>
          <w:lang w:val="en-US"/>
        </w:rPr>
        <w:t>Studes in South Asian Film &amp; Media</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15</w:t>
      </w:r>
      <w:r w:rsidRPr="00A714D2">
        <w:rPr>
          <w:rFonts w:ascii="Times New Roman" w:hAnsi="Times New Roman" w:cs="Times New Roman"/>
          <w:sz w:val="20"/>
          <w:szCs w:val="24"/>
          <w:lang w:val="en-US"/>
        </w:rPr>
        <w:t>(June), 27–42.</w:t>
      </w:r>
    </w:p>
    <w:p w14:paraId="15FDCF14"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Nelson, L. C., &amp; Haejoang, C. (2016). Women, gender, and social change in South Korea since 1945. In </w:t>
      </w:r>
      <w:r w:rsidRPr="00A714D2">
        <w:rPr>
          <w:rFonts w:ascii="Times New Roman" w:hAnsi="Times New Roman" w:cs="Times New Roman"/>
          <w:i/>
          <w:iCs/>
          <w:sz w:val="20"/>
          <w:szCs w:val="24"/>
          <w:lang w:val="en-US"/>
        </w:rPr>
        <w:t>Routledge Handbook of Modern Korean History</w:t>
      </w:r>
      <w:r w:rsidRPr="00A714D2">
        <w:rPr>
          <w:rFonts w:ascii="Times New Roman" w:hAnsi="Times New Roman" w:cs="Times New Roman"/>
          <w:sz w:val="20"/>
          <w:szCs w:val="24"/>
          <w:lang w:val="en-US"/>
        </w:rPr>
        <w:t xml:space="preserve"> (pp. 326–342). Routledge.</w:t>
      </w:r>
    </w:p>
    <w:p w14:paraId="44FDF8D9"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Oh, I., &amp; Kim, K. (2023). Gendered Melancholia as Cultural Branding: Fandom Participation in the K-pop Community. </w:t>
      </w:r>
      <w:r w:rsidRPr="00A714D2">
        <w:rPr>
          <w:rFonts w:ascii="Times New Roman" w:hAnsi="Times New Roman" w:cs="Times New Roman"/>
          <w:i/>
          <w:iCs/>
          <w:sz w:val="20"/>
          <w:szCs w:val="24"/>
          <w:lang w:val="en-US"/>
        </w:rPr>
        <w:t>Asia Pacific Business Review</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29</w:t>
      </w:r>
      <w:r w:rsidRPr="00A714D2">
        <w:rPr>
          <w:rFonts w:ascii="Times New Roman" w:hAnsi="Times New Roman" w:cs="Times New Roman"/>
          <w:sz w:val="20"/>
          <w:szCs w:val="24"/>
          <w:lang w:val="en-US"/>
        </w:rPr>
        <w:t>(5), 1300–1323. https://doi.org/10.1080/13602381.2022.2145007</w:t>
      </w:r>
    </w:p>
    <w:p w14:paraId="5E407AB7"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Oh, I., Kim, K. J., &amp; Rowley, C. (2023). Female empowerment and radical empathy for the sustainability of creative industries: The case of K-Pop. </w:t>
      </w:r>
      <w:r w:rsidRPr="00A714D2">
        <w:rPr>
          <w:rFonts w:ascii="Times New Roman" w:hAnsi="Times New Roman" w:cs="Times New Roman"/>
          <w:i/>
          <w:iCs/>
          <w:sz w:val="20"/>
          <w:szCs w:val="24"/>
          <w:lang w:val="en-US"/>
        </w:rPr>
        <w:t>Sustainability</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15</w:t>
      </w:r>
      <w:r w:rsidRPr="00A714D2">
        <w:rPr>
          <w:rFonts w:ascii="Times New Roman" w:hAnsi="Times New Roman" w:cs="Times New Roman"/>
          <w:sz w:val="20"/>
          <w:szCs w:val="24"/>
          <w:lang w:val="en-US"/>
        </w:rPr>
        <w:t>(4), 3098. https://doi.org/10.3390/su15043098</w:t>
      </w:r>
    </w:p>
    <w:p w14:paraId="6AB0AF2C"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Qiu, Z. (2024). Feminist Endeavors in the Visibility Economy: A Case Study of the Idol Industry—(G) I-DLE’s. </w:t>
      </w:r>
      <w:r w:rsidRPr="00A714D2">
        <w:rPr>
          <w:rFonts w:ascii="Times New Roman" w:hAnsi="Times New Roman" w:cs="Times New Roman"/>
          <w:i/>
          <w:iCs/>
          <w:sz w:val="20"/>
          <w:szCs w:val="24"/>
          <w:lang w:val="en-US"/>
        </w:rPr>
        <w:t>Media and Communication Research</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5</w:t>
      </w:r>
      <w:r w:rsidRPr="00A714D2">
        <w:rPr>
          <w:rFonts w:ascii="Times New Roman" w:hAnsi="Times New Roman" w:cs="Times New Roman"/>
          <w:sz w:val="20"/>
          <w:szCs w:val="24"/>
          <w:lang w:val="en-US"/>
        </w:rPr>
        <w:t>(1), 111–114. https://doi.org/10.23977/mediacr.2024.050118</w:t>
      </w:r>
    </w:p>
    <w:p w14:paraId="173D0C05"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Romer, F. (2020). Aphrodite Φιλομμηδής and Radical Gender Differentiation in an Ethnographic Myth. Euphrosyne: In P. Burian, J. S. Clay, &amp; G. Davis (Eds.), </w:t>
      </w:r>
      <w:r w:rsidRPr="00A714D2">
        <w:rPr>
          <w:rFonts w:ascii="Times New Roman" w:hAnsi="Times New Roman" w:cs="Times New Roman"/>
          <w:i/>
          <w:iCs/>
          <w:sz w:val="20"/>
          <w:szCs w:val="24"/>
          <w:lang w:val="en-US"/>
        </w:rPr>
        <w:t>Studies in Ancient Philosophy, History, and Literature,</w:t>
      </w:r>
      <w:r w:rsidRPr="00A714D2">
        <w:rPr>
          <w:rFonts w:ascii="Times New Roman" w:hAnsi="Times New Roman" w:cs="Times New Roman"/>
          <w:sz w:val="20"/>
          <w:szCs w:val="24"/>
          <w:lang w:val="en-US"/>
        </w:rPr>
        <w:t xml:space="preserve"> (Vol. 370, p. 183).</w:t>
      </w:r>
    </w:p>
    <w:p w14:paraId="1C02D7E9"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Storey, J. (2021). </w:t>
      </w:r>
      <w:r w:rsidRPr="00A714D2">
        <w:rPr>
          <w:rFonts w:ascii="Times New Roman" w:hAnsi="Times New Roman" w:cs="Times New Roman"/>
          <w:i/>
          <w:iCs/>
          <w:sz w:val="20"/>
          <w:szCs w:val="24"/>
          <w:lang w:val="en-US"/>
        </w:rPr>
        <w:t>Cultural theory and popular culture: An introduction.</w:t>
      </w:r>
      <w:r w:rsidRPr="00A714D2">
        <w:rPr>
          <w:rFonts w:ascii="Times New Roman" w:hAnsi="Times New Roman" w:cs="Times New Roman"/>
          <w:sz w:val="20"/>
          <w:szCs w:val="24"/>
          <w:lang w:val="en-US"/>
        </w:rPr>
        <w:t xml:space="preserve"> Routledge.</w:t>
      </w:r>
    </w:p>
    <w:p w14:paraId="3421D30C"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Venters, L., &amp; Rothenberg, A. (2022). Trammelled Stars: The Non-Autonomy of Female K-pop Idols. </w:t>
      </w:r>
      <w:r w:rsidRPr="00A714D2">
        <w:rPr>
          <w:rFonts w:ascii="Times New Roman" w:hAnsi="Times New Roman" w:cs="Times New Roman"/>
          <w:i/>
          <w:iCs/>
          <w:sz w:val="20"/>
          <w:szCs w:val="24"/>
          <w:lang w:val="en-US"/>
        </w:rPr>
        <w:t>Celebrity Studies</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14</w:t>
      </w:r>
      <w:r w:rsidRPr="00A714D2">
        <w:rPr>
          <w:rFonts w:ascii="Times New Roman" w:hAnsi="Times New Roman" w:cs="Times New Roman"/>
          <w:sz w:val="20"/>
          <w:szCs w:val="24"/>
          <w:lang w:val="en-US"/>
        </w:rPr>
        <w:t>(4), 455–471. https://doi.org/10.1080/19392397.2022.2083521</w:t>
      </w:r>
    </w:p>
    <w:p w14:paraId="10AA3F31"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weforum. (2023). </w:t>
      </w:r>
      <w:r w:rsidRPr="00A714D2">
        <w:rPr>
          <w:rFonts w:ascii="Times New Roman" w:hAnsi="Times New Roman" w:cs="Times New Roman"/>
          <w:i/>
          <w:iCs/>
          <w:sz w:val="20"/>
          <w:szCs w:val="24"/>
          <w:lang w:val="en-US"/>
        </w:rPr>
        <w:t>Global Gender Gap Report</w:t>
      </w:r>
      <w:r w:rsidRPr="00A714D2">
        <w:rPr>
          <w:rFonts w:ascii="Times New Roman" w:hAnsi="Times New Roman" w:cs="Times New Roman"/>
          <w:sz w:val="20"/>
          <w:szCs w:val="24"/>
          <w:lang w:val="en-US"/>
        </w:rPr>
        <w:t>. World Economic Forum. https://www.weforum.org/publications/global-gender-gap-report-2023/in-full/benchmarking-gender-gaps-2023/</w:t>
      </w:r>
    </w:p>
    <w:p w14:paraId="6E46E761"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Whelehan, I. (2014). Representing women in popular culture. In </w:t>
      </w:r>
      <w:r w:rsidRPr="00A714D2">
        <w:rPr>
          <w:rFonts w:ascii="Times New Roman" w:hAnsi="Times New Roman" w:cs="Times New Roman"/>
          <w:i/>
          <w:iCs/>
          <w:sz w:val="20"/>
          <w:szCs w:val="24"/>
          <w:lang w:val="en-US"/>
        </w:rPr>
        <w:t>The SAGE handbook of feminist theory,</w:t>
      </w:r>
      <w:r w:rsidRPr="00A714D2">
        <w:rPr>
          <w:rFonts w:ascii="Times New Roman" w:hAnsi="Times New Roman" w:cs="Times New Roman"/>
          <w:sz w:val="20"/>
          <w:szCs w:val="24"/>
          <w:lang w:val="en-US"/>
        </w:rPr>
        <w:t xml:space="preserve"> (pp. 232–250). SAGE Publications.</w:t>
      </w:r>
    </w:p>
    <w:p w14:paraId="3127775D"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Yilmazçoban, M. (2020). Mindset and culture difference in Eastern And Western societies in gender and feminism. </w:t>
      </w:r>
      <w:r w:rsidRPr="00A714D2">
        <w:rPr>
          <w:rFonts w:ascii="Times New Roman" w:hAnsi="Times New Roman" w:cs="Times New Roman"/>
          <w:i/>
          <w:iCs/>
          <w:sz w:val="20"/>
          <w:szCs w:val="24"/>
          <w:lang w:val="en-US"/>
        </w:rPr>
        <w:t>International Journal of Disaster Recovery and Business Continuity</w:t>
      </w:r>
      <w:r w:rsidRPr="00A714D2">
        <w:rPr>
          <w:rFonts w:ascii="Times New Roman" w:hAnsi="Times New Roman" w:cs="Times New Roman"/>
          <w:sz w:val="20"/>
          <w:szCs w:val="24"/>
          <w:lang w:val="en-US"/>
        </w:rPr>
        <w:t xml:space="preserve">, </w:t>
      </w:r>
      <w:r w:rsidRPr="00A714D2">
        <w:rPr>
          <w:rFonts w:ascii="Times New Roman" w:hAnsi="Times New Roman" w:cs="Times New Roman"/>
          <w:i/>
          <w:iCs/>
          <w:sz w:val="20"/>
          <w:szCs w:val="24"/>
          <w:lang w:val="en-US"/>
        </w:rPr>
        <w:t>11</w:t>
      </w:r>
      <w:r w:rsidRPr="00A714D2">
        <w:rPr>
          <w:rFonts w:ascii="Times New Roman" w:hAnsi="Times New Roman" w:cs="Times New Roman"/>
          <w:sz w:val="20"/>
          <w:szCs w:val="24"/>
          <w:lang w:val="en-US"/>
        </w:rPr>
        <w:t>(2), 189–202.</w:t>
      </w:r>
    </w:p>
    <w:p w14:paraId="521AFFD4" w14:textId="77777777" w:rsidR="00640082" w:rsidRPr="00A714D2" w:rsidRDefault="00640082" w:rsidP="00A61C19">
      <w:pPr>
        <w:pStyle w:val="Bibliography"/>
        <w:spacing w:line="276" w:lineRule="auto"/>
        <w:ind w:left="1134" w:hanging="425"/>
        <w:rPr>
          <w:rFonts w:ascii="Times New Roman" w:hAnsi="Times New Roman" w:cs="Times New Roman"/>
          <w:sz w:val="20"/>
          <w:szCs w:val="24"/>
          <w:lang w:val="en-US"/>
        </w:rPr>
      </w:pPr>
      <w:r w:rsidRPr="00A714D2">
        <w:rPr>
          <w:rFonts w:ascii="Times New Roman" w:hAnsi="Times New Roman" w:cs="Times New Roman"/>
          <w:sz w:val="20"/>
          <w:szCs w:val="24"/>
          <w:lang w:val="en-US"/>
        </w:rPr>
        <w:t xml:space="preserve">Zhang, Y., Chen, L., Chen, J., Mi, X., &amp; Zhu, S. (2022). </w:t>
      </w:r>
      <w:r w:rsidRPr="00A714D2">
        <w:rPr>
          <w:rFonts w:ascii="Times New Roman" w:hAnsi="Times New Roman" w:cs="Times New Roman"/>
          <w:i/>
          <w:iCs/>
          <w:sz w:val="20"/>
          <w:szCs w:val="24"/>
          <w:lang w:val="en-US"/>
        </w:rPr>
        <w:t>Redefining Womanhood in Generation Z: An Analysis of Gender Representation and Awareness in K-pop Culture</w:t>
      </w:r>
      <w:r w:rsidRPr="00A714D2">
        <w:rPr>
          <w:rFonts w:ascii="Times New Roman" w:hAnsi="Times New Roman" w:cs="Times New Roman"/>
          <w:sz w:val="20"/>
          <w:szCs w:val="24"/>
          <w:lang w:val="en-US"/>
        </w:rPr>
        <w:t>. 2868–2877.</w:t>
      </w:r>
    </w:p>
    <w:p w14:paraId="70D54812" w14:textId="77777777" w:rsidR="00640082" w:rsidRDefault="00640082" w:rsidP="00A61C19">
      <w:pPr>
        <w:spacing w:line="276" w:lineRule="auto"/>
        <w:ind w:left="1134" w:hanging="425"/>
        <w:rPr>
          <w:rFonts w:ascii="Times New Roman" w:hAnsi="Times New Roman" w:cs="Times New Roman"/>
          <w:sz w:val="18"/>
          <w:szCs w:val="18"/>
          <w:lang w:val="en-US"/>
        </w:rPr>
      </w:pPr>
      <w:r w:rsidRPr="00A714D2">
        <w:rPr>
          <w:rFonts w:ascii="Times New Roman" w:hAnsi="Times New Roman" w:cs="Times New Roman"/>
          <w:sz w:val="20"/>
          <w:szCs w:val="20"/>
          <w:lang w:val="en-US"/>
        </w:rPr>
        <w:fldChar w:fldCharType="end"/>
      </w:r>
    </w:p>
    <w:p w14:paraId="26531D2F" w14:textId="77777777" w:rsidR="00822617" w:rsidRDefault="00822617" w:rsidP="00A61C19">
      <w:pPr>
        <w:spacing w:line="276" w:lineRule="auto"/>
        <w:ind w:left="1134" w:hanging="425"/>
        <w:rPr>
          <w:rFonts w:ascii="Times New Roman" w:hAnsi="Times New Roman" w:cs="Times New Roman"/>
          <w:sz w:val="18"/>
          <w:szCs w:val="18"/>
          <w:lang w:val="en-US"/>
        </w:rPr>
      </w:pPr>
    </w:p>
    <w:p w14:paraId="77495117" w14:textId="77777777" w:rsidR="00822617" w:rsidRDefault="00822617" w:rsidP="00A61C19">
      <w:pPr>
        <w:spacing w:line="276" w:lineRule="auto"/>
        <w:ind w:left="1134" w:hanging="425"/>
        <w:rPr>
          <w:rFonts w:ascii="Times New Roman" w:hAnsi="Times New Roman" w:cs="Times New Roman"/>
          <w:sz w:val="18"/>
          <w:szCs w:val="18"/>
          <w:lang w:val="en-US"/>
        </w:rPr>
      </w:pPr>
    </w:p>
    <w:p w14:paraId="15ADCD6E" w14:textId="77777777" w:rsidR="00822617" w:rsidRDefault="00822617" w:rsidP="00A61C19">
      <w:pPr>
        <w:spacing w:line="276" w:lineRule="auto"/>
        <w:ind w:left="1134" w:hanging="425"/>
        <w:rPr>
          <w:rFonts w:ascii="Times New Roman" w:hAnsi="Times New Roman" w:cs="Times New Roman"/>
          <w:sz w:val="18"/>
          <w:szCs w:val="18"/>
          <w:lang w:val="en-US"/>
        </w:rPr>
      </w:pPr>
    </w:p>
    <w:p w14:paraId="5CDC17D0" w14:textId="77777777" w:rsidR="00822617" w:rsidRPr="005B2606" w:rsidRDefault="00822617" w:rsidP="0088357A">
      <w:pPr>
        <w:spacing w:line="276" w:lineRule="auto"/>
        <w:ind w:left="0"/>
        <w:rPr>
          <w:rFonts w:ascii="Times New Roman" w:hAnsi="Times New Roman" w:cs="Times New Roman"/>
          <w:sz w:val="18"/>
          <w:szCs w:val="18"/>
          <w:lang w:val="en-US"/>
        </w:rPr>
      </w:pPr>
    </w:p>
    <w:p w14:paraId="3D6EA65A" w14:textId="77777777" w:rsidR="00640082" w:rsidRPr="00731862" w:rsidRDefault="00640082" w:rsidP="008E37C0">
      <w:pPr>
        <w:pStyle w:val="Heading1"/>
      </w:pPr>
      <w:bookmarkStart w:id="29" w:name="_Toc197537609"/>
      <w:r w:rsidRPr="001E1136">
        <w:t>Balancing the Positive and Negative Impacts of AI in Education Through a Capacity Development-Centered Approach</w:t>
      </w:r>
      <w:bookmarkEnd w:id="29"/>
    </w:p>
    <w:p w14:paraId="58F0A548" w14:textId="77777777" w:rsidR="00640082" w:rsidRDefault="00640082" w:rsidP="008E37C0">
      <w:pPr>
        <w:pStyle w:val="Heading2"/>
      </w:pPr>
      <w:bookmarkStart w:id="30" w:name="_Toc197537610"/>
      <w:r w:rsidRPr="00731862">
        <w:t>Andi Farhan Fauzi</w:t>
      </w:r>
      <w:r w:rsidRPr="006E5EC6">
        <w:rPr>
          <w:vertAlign w:val="superscript"/>
        </w:rPr>
        <w:t>1</w:t>
      </w:r>
      <w:r w:rsidRPr="00731862">
        <w:t>, Jacinta Arkana Shafiqah Jasman</w:t>
      </w:r>
      <w:r w:rsidRPr="006E5EC6">
        <w:rPr>
          <w:vertAlign w:val="superscript"/>
        </w:rPr>
        <w:t>2</w:t>
      </w:r>
      <w:r w:rsidRPr="00731862">
        <w:t>, Andi Naelah Marsya Salsabillah</w:t>
      </w:r>
      <w:r>
        <w:rPr>
          <w:vertAlign w:val="superscript"/>
        </w:rPr>
        <w:t>2</w:t>
      </w:r>
      <w:r>
        <w:t>, Hariashari Rahim</w:t>
      </w:r>
      <w:r w:rsidRPr="006E5EC6">
        <w:rPr>
          <w:vertAlign w:val="superscript"/>
        </w:rPr>
        <w:t>1*</w:t>
      </w:r>
      <w:bookmarkEnd w:id="30"/>
    </w:p>
    <w:p w14:paraId="2301AC26" w14:textId="77777777" w:rsidR="00640082" w:rsidRDefault="00640082" w:rsidP="00731862">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Department of Sociology,  Faculty of Social and Political Sciences, Hasanuddin University, Makassar, Indonesia </w:t>
      </w:r>
    </w:p>
    <w:p w14:paraId="1236045A" w14:textId="77777777" w:rsidR="00640082" w:rsidRDefault="00640082" w:rsidP="00731862">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Department of International Relation,  Faculty of Social and Political Sciences, Hasanuddin University, Makassar, Indonesia </w:t>
      </w:r>
    </w:p>
    <w:p w14:paraId="3D519C4E" w14:textId="77777777" w:rsidR="00640082" w:rsidRPr="00EF089E" w:rsidRDefault="00640082" w:rsidP="00726AE4"/>
    <w:p w14:paraId="7EE62B3B" w14:textId="78B3748F" w:rsidR="00640082" w:rsidRDefault="00640082" w:rsidP="006E3F79">
      <w:pPr>
        <w:spacing w:line="240" w:lineRule="auto"/>
        <w:jc w:val="center"/>
        <w:rPr>
          <w:rFonts w:ascii="Times New Roman" w:hAnsi="Times New Roman" w:cs="Times New Roman"/>
          <w:b/>
          <w:sz w:val="24"/>
        </w:rPr>
      </w:pPr>
      <w:r>
        <w:rPr>
          <w:rFonts w:ascii="Times New Roman" w:hAnsi="Times New Roman" w:cs="Times New Roman"/>
          <w:b/>
          <w:sz w:val="24"/>
        </w:rPr>
        <w:t>Abstract</w:t>
      </w:r>
    </w:p>
    <w:p w14:paraId="5F1580E6" w14:textId="33EA0064" w:rsidR="00640082" w:rsidRDefault="00640082" w:rsidP="006E3F79">
      <w:pPr>
        <w:spacing w:line="240" w:lineRule="auto"/>
        <w:rPr>
          <w:rFonts w:ascii="Times New Roman" w:hAnsi="Times New Roman" w:cs="Times New Roman"/>
          <w:sz w:val="18"/>
          <w:szCs w:val="18"/>
        </w:rPr>
      </w:pPr>
      <w:r w:rsidRPr="001E1136">
        <w:rPr>
          <w:rFonts w:ascii="Times New Roman" w:hAnsi="Times New Roman" w:cs="Times New Roman"/>
          <w:sz w:val="18"/>
          <w:szCs w:val="18"/>
        </w:rPr>
        <w:t>The rapid development of artificial intelligence (AI) has significantly transformed the education sector</w:t>
      </w:r>
      <w:r w:rsidRPr="00FB64A3">
        <w:rPr>
          <w:rFonts w:ascii="Times New Roman" w:hAnsi="Times New Roman" w:cs="Times New Roman"/>
          <w:sz w:val="18"/>
          <w:szCs w:val="18"/>
        </w:rPr>
        <w:t>. AI can be both an opportunity and a major challenge as time goes on, especially in education. The positive opportunities for AI in education are significant enough to enhance the learning process for both educators and students. On the other hand, there are also concerns about the negative impact of AI, which is a major challenge for academic integrity in the future. There is a need to enhance the positive potential of AI while mitigating t</w:t>
      </w:r>
      <w:r w:rsidR="0058252E">
        <w:rPr>
          <w:rFonts w:ascii="Times New Roman" w:hAnsi="Times New Roman" w:cs="Times New Roman"/>
          <w:sz w:val="18"/>
          <w:szCs w:val="18"/>
        </w:rPr>
        <w:t>r</w:t>
      </w:r>
      <w:r w:rsidRPr="00FB64A3">
        <w:rPr>
          <w:rFonts w:ascii="Times New Roman" w:hAnsi="Times New Roman" w:cs="Times New Roman"/>
          <w:sz w:val="18"/>
          <w:szCs w:val="18"/>
        </w:rPr>
        <w:t>he negative impact of AI itself. This research aims to explore effective alternative solutions to overcome the debate about the positive and negative impacts of AI in education. The research method used in this study is a capacity building approach, based on the UN SDG 2017 framework. Capacity building itself</w:t>
      </w:r>
      <w:r>
        <w:rPr>
          <w:rFonts w:ascii="Times New Roman" w:hAnsi="Times New Roman" w:cs="Times New Roman"/>
          <w:sz w:val="18"/>
          <w:szCs w:val="18"/>
        </w:rPr>
        <w:t xml:space="preserve"> </w:t>
      </w:r>
      <w:r w:rsidRPr="00FB64A3">
        <w:rPr>
          <w:rFonts w:ascii="Times New Roman" w:hAnsi="Times New Roman" w:cs="Times New Roman"/>
          <w:sz w:val="18"/>
          <w:szCs w:val="18"/>
        </w:rPr>
        <w:t xml:space="preserve"> has three levels that need to complement each other, referring to the individual, institutional and enabling environment levels. </w:t>
      </w:r>
      <w:r w:rsidRPr="00B97695">
        <w:rPr>
          <w:rFonts w:ascii="Times New Roman" w:hAnsi="Times New Roman" w:cs="Times New Roman"/>
          <w:sz w:val="18"/>
          <w:szCs w:val="18"/>
        </w:rPr>
        <w:t xml:space="preserve">At the individual level, AI literacy and lifelong learning are vital for adapting to technological changes. Institutionally, integrating AI into </w:t>
      </w:r>
      <w:r>
        <w:rPr>
          <w:rFonts w:ascii="Times New Roman" w:hAnsi="Times New Roman" w:cs="Times New Roman"/>
          <w:sz w:val="18"/>
          <w:szCs w:val="18"/>
        </w:rPr>
        <w:t>education</w:t>
      </w:r>
      <w:r w:rsidRPr="00B97695">
        <w:rPr>
          <w:rFonts w:ascii="Times New Roman" w:hAnsi="Times New Roman" w:cs="Times New Roman"/>
          <w:sz w:val="18"/>
          <w:szCs w:val="18"/>
        </w:rPr>
        <w:t xml:space="preserve"> and providing adequate training for educators are key. At the enabling environment l</w:t>
      </w:r>
      <w:r>
        <w:rPr>
          <w:rFonts w:ascii="Times New Roman" w:hAnsi="Times New Roman" w:cs="Times New Roman"/>
          <w:sz w:val="18"/>
          <w:szCs w:val="18"/>
        </w:rPr>
        <w:t xml:space="preserve">evel, supportive policies and fair regulations </w:t>
      </w:r>
      <w:r w:rsidRPr="00B97695">
        <w:rPr>
          <w:rFonts w:ascii="Times New Roman" w:hAnsi="Times New Roman" w:cs="Times New Roman"/>
          <w:sz w:val="18"/>
          <w:szCs w:val="18"/>
        </w:rPr>
        <w:t>are necessary for ethical and inclusive</w:t>
      </w:r>
      <w:r>
        <w:rPr>
          <w:rFonts w:ascii="Times New Roman" w:hAnsi="Times New Roman" w:cs="Times New Roman"/>
          <w:sz w:val="18"/>
          <w:szCs w:val="18"/>
        </w:rPr>
        <w:t xml:space="preserve"> AI implementation in education. </w:t>
      </w:r>
      <w:r w:rsidRPr="00FB64A3">
        <w:rPr>
          <w:rFonts w:ascii="Times New Roman" w:hAnsi="Times New Roman" w:cs="Times New Roman"/>
          <w:sz w:val="18"/>
          <w:szCs w:val="18"/>
        </w:rPr>
        <w:t>The application of capacity building as an implication of artificial intelligence at the three levels must take place simultaneously. The interconnection between these three levels is the key to successfully managing the balance between the positive and negative impacts of AI in the world.</w:t>
      </w:r>
      <w:r>
        <w:rPr>
          <w:rFonts w:ascii="Times New Roman" w:hAnsi="Times New Roman" w:cs="Times New Roman"/>
          <w:sz w:val="18"/>
          <w:szCs w:val="18"/>
        </w:rPr>
        <w:t xml:space="preserve"> </w:t>
      </w:r>
      <w:r w:rsidRPr="001E1136">
        <w:rPr>
          <w:rFonts w:ascii="Times New Roman" w:hAnsi="Times New Roman" w:cs="Times New Roman"/>
          <w:sz w:val="18"/>
          <w:szCs w:val="18"/>
        </w:rPr>
        <w:t>The results provide actionable recommendations for policymakers and educational institutions to design strategies that optimize AI's potential while minimizing its risks. By offering a novel application of the capacity building framework, this study contributes to academic discourse on AI and education and serves as a practical reference for creating sustainable and equitable educational systems globally.</w:t>
      </w:r>
      <w:r w:rsidRPr="00FB64A3">
        <w:rPr>
          <w:rFonts w:ascii="Times New Roman" w:hAnsi="Times New Roman" w:cs="Times New Roman"/>
          <w:sz w:val="18"/>
          <w:szCs w:val="18"/>
        </w:rPr>
        <w:t xml:space="preserve"> </w:t>
      </w:r>
    </w:p>
    <w:p w14:paraId="56FEEB2B" w14:textId="77777777" w:rsidR="00640082" w:rsidRDefault="00640082" w:rsidP="006E3F79">
      <w:pPr>
        <w:spacing w:line="240" w:lineRule="auto"/>
        <w:rPr>
          <w:rFonts w:ascii="Times New Roman" w:hAnsi="Times New Roman" w:cs="Times New Roman"/>
          <w:i/>
          <w:iCs/>
          <w:sz w:val="18"/>
          <w:szCs w:val="18"/>
        </w:rPr>
      </w:pPr>
      <w:r w:rsidRPr="00DD0997">
        <w:rPr>
          <w:rFonts w:ascii="Times New Roman" w:hAnsi="Times New Roman" w:cs="Times New Roman"/>
          <w:b/>
          <w:bCs/>
          <w:i/>
          <w:iCs/>
          <w:sz w:val="18"/>
          <w:szCs w:val="18"/>
        </w:rPr>
        <w:t>Keywords:</w:t>
      </w:r>
      <w:r>
        <w:rPr>
          <w:rFonts w:ascii="Times New Roman" w:hAnsi="Times New Roman" w:cs="Times New Roman"/>
          <w:sz w:val="18"/>
          <w:szCs w:val="18"/>
        </w:rPr>
        <w:t xml:space="preserve"> </w:t>
      </w:r>
      <w:r>
        <w:rPr>
          <w:rFonts w:ascii="Times New Roman" w:hAnsi="Times New Roman" w:cs="Times New Roman"/>
          <w:i/>
          <w:iCs/>
          <w:sz w:val="18"/>
          <w:szCs w:val="18"/>
        </w:rPr>
        <w:t>Capacity Development,</w:t>
      </w:r>
      <w:r w:rsidRPr="00DD0997">
        <w:rPr>
          <w:rFonts w:ascii="Times New Roman" w:hAnsi="Times New Roman" w:cs="Times New Roman"/>
          <w:i/>
          <w:iCs/>
          <w:sz w:val="18"/>
          <w:szCs w:val="18"/>
        </w:rPr>
        <w:t xml:space="preserve"> </w:t>
      </w:r>
      <w:r>
        <w:rPr>
          <w:rFonts w:ascii="Times New Roman" w:hAnsi="Times New Roman" w:cs="Times New Roman"/>
          <w:i/>
          <w:iCs/>
          <w:sz w:val="18"/>
          <w:szCs w:val="18"/>
        </w:rPr>
        <w:t>Artificial Intelligence, Education</w:t>
      </w:r>
    </w:p>
    <w:p w14:paraId="0C90B4E1" w14:textId="77777777" w:rsidR="00640082" w:rsidRPr="002E47C2" w:rsidRDefault="00640082" w:rsidP="00640082">
      <w:pPr>
        <w:pStyle w:val="ListParagraph"/>
        <w:numPr>
          <w:ilvl w:val="0"/>
          <w:numId w:val="12"/>
        </w:numPr>
        <w:spacing w:after="200" w:line="240" w:lineRule="auto"/>
        <w:rPr>
          <w:rFonts w:ascii="Times New Roman" w:hAnsi="Times New Roman" w:cs="Times New Roman"/>
          <w:b/>
          <w:sz w:val="24"/>
        </w:rPr>
      </w:pPr>
      <w:r w:rsidRPr="00FC4229">
        <w:rPr>
          <w:rFonts w:ascii="Times New Roman" w:hAnsi="Times New Roman" w:cs="Times New Roman"/>
          <w:b/>
          <w:sz w:val="24"/>
        </w:rPr>
        <w:t>Introduction</w:t>
      </w:r>
    </w:p>
    <w:p w14:paraId="2677D091" w14:textId="77777777" w:rsidR="00640082" w:rsidRDefault="00640082" w:rsidP="00C12506">
      <w:pPr>
        <w:pStyle w:val="NormalWeb"/>
        <w:tabs>
          <w:tab w:val="left" w:pos="6329"/>
        </w:tabs>
        <w:spacing w:before="0" w:beforeAutospacing="0" w:after="0" w:afterAutospacing="0"/>
        <w:ind w:left="360"/>
        <w:jc w:val="both"/>
        <w:rPr>
          <w:color w:val="000000"/>
          <w:sz w:val="20"/>
          <w:szCs w:val="20"/>
        </w:rPr>
      </w:pPr>
      <w:r w:rsidRPr="009A3A8F">
        <w:rPr>
          <w:color w:val="000000"/>
          <w:sz w:val="20"/>
          <w:szCs w:val="20"/>
        </w:rPr>
        <w:t>The development of artificial intelligence (AI) technology has brought about major changes in various sectors, including education. AI is now an important element in supporting the learning process, improving efficiency, and pro</w:t>
      </w:r>
      <w:r>
        <w:rPr>
          <w:color w:val="000000"/>
          <w:sz w:val="20"/>
          <w:szCs w:val="20"/>
        </w:rPr>
        <w:t xml:space="preserve"> </w:t>
      </w:r>
      <w:r w:rsidRPr="009A3A8F">
        <w:rPr>
          <w:color w:val="000000"/>
          <w:sz w:val="20"/>
          <w:szCs w:val="20"/>
        </w:rPr>
        <w:t>viding access to a wider range of educati</w:t>
      </w:r>
      <w:r>
        <w:rPr>
          <w:color w:val="000000"/>
          <w:sz w:val="20"/>
          <w:szCs w:val="20"/>
        </w:rPr>
        <w:t>onal resources. Various AI like Generative AI</w:t>
      </w:r>
      <w:r w:rsidRPr="009A3A8F">
        <w:rPr>
          <w:color w:val="000000"/>
          <w:sz w:val="20"/>
          <w:szCs w:val="20"/>
        </w:rPr>
        <w:t xml:space="preserve">, have been widely used by educators and students to support academic activities, ranging from assistance in essay writing to complex data analysis. </w:t>
      </w:r>
    </w:p>
    <w:p w14:paraId="5D890053" w14:textId="77777777" w:rsidR="00640082" w:rsidRDefault="00640082" w:rsidP="0071660E">
      <w:pPr>
        <w:pStyle w:val="NormalWeb"/>
        <w:tabs>
          <w:tab w:val="left" w:pos="6329"/>
        </w:tabs>
        <w:spacing w:before="0" w:beforeAutospacing="0" w:after="0" w:afterAutospacing="0"/>
        <w:ind w:left="360"/>
        <w:jc w:val="both"/>
        <w:rPr>
          <w:color w:val="000000"/>
          <w:sz w:val="20"/>
          <w:szCs w:val="20"/>
        </w:rPr>
      </w:pPr>
      <w:r w:rsidRPr="00D36356">
        <w:rPr>
          <w:color w:val="000000"/>
          <w:sz w:val="20"/>
          <w:szCs w:val="20"/>
        </w:rPr>
        <w:t xml:space="preserve">Generative AI is designed to create text, provide explanations, and assist in complex problem-solving through natural language (Stryker &amp; </w:t>
      </w:r>
      <w:proofErr w:type="spellStart"/>
      <w:r w:rsidRPr="00D36356">
        <w:rPr>
          <w:color w:val="000000"/>
          <w:sz w:val="20"/>
          <w:szCs w:val="20"/>
        </w:rPr>
        <w:t>Scappichio</w:t>
      </w:r>
      <w:proofErr w:type="spellEnd"/>
      <w:r w:rsidRPr="00D36356">
        <w:rPr>
          <w:color w:val="000000"/>
          <w:sz w:val="20"/>
          <w:szCs w:val="20"/>
        </w:rPr>
        <w:t>, 2024).</w:t>
      </w:r>
      <w:r>
        <w:rPr>
          <w:color w:val="000000"/>
          <w:sz w:val="20"/>
          <w:szCs w:val="20"/>
        </w:rPr>
        <w:t xml:space="preserve"> </w:t>
      </w:r>
      <w:r w:rsidRPr="009A3A8F">
        <w:rPr>
          <w:color w:val="000000"/>
          <w:sz w:val="20"/>
          <w:szCs w:val="20"/>
        </w:rPr>
        <w:t>However, as with any technological innovation, the use of AI in education is contentious. On the one hand, AI is considered a revolutionary technology that can improve the quality of education and expand its accessibility, but on the other hand, there are concerns that AI has the potential to undermine academic integrity and reduce students' critical thinking skills.</w:t>
      </w:r>
    </w:p>
    <w:p w14:paraId="6BDE4C16" w14:textId="77777777" w:rsidR="00640082" w:rsidRPr="00244720" w:rsidRDefault="00640082" w:rsidP="00C12506">
      <w:pPr>
        <w:pStyle w:val="NormalWeb"/>
        <w:tabs>
          <w:tab w:val="left" w:pos="6329"/>
        </w:tabs>
        <w:spacing w:before="0" w:beforeAutospacing="0" w:after="0" w:afterAutospacing="0"/>
        <w:ind w:left="360"/>
        <w:jc w:val="both"/>
        <w:rPr>
          <w:color w:val="000000"/>
          <w:sz w:val="20"/>
          <w:szCs w:val="20"/>
        </w:rPr>
      </w:pPr>
      <w:r>
        <w:rPr>
          <w:color w:val="000000"/>
          <w:sz w:val="20"/>
          <w:szCs w:val="20"/>
        </w:rPr>
        <w:tab/>
      </w:r>
    </w:p>
    <w:p w14:paraId="4A19E353" w14:textId="77777777" w:rsidR="00640082" w:rsidRDefault="00640082" w:rsidP="00396301">
      <w:pPr>
        <w:pStyle w:val="NormalWeb"/>
        <w:spacing w:before="0" w:beforeAutospacing="0" w:after="0" w:afterAutospacing="0"/>
        <w:ind w:left="360"/>
        <w:jc w:val="both"/>
        <w:rPr>
          <w:color w:val="000000"/>
          <w:sz w:val="20"/>
          <w:szCs w:val="20"/>
        </w:rPr>
      </w:pPr>
      <w:r w:rsidRPr="009A3A8F">
        <w:rPr>
          <w:color w:val="000000"/>
          <w:sz w:val="20"/>
          <w:szCs w:val="20"/>
        </w:rPr>
        <w:t xml:space="preserve">A key issue in this emerging debate is how to </w:t>
      </w:r>
      <w:proofErr w:type="spellStart"/>
      <w:r w:rsidRPr="009A3A8F">
        <w:rPr>
          <w:color w:val="000000"/>
          <w:sz w:val="20"/>
          <w:szCs w:val="20"/>
        </w:rPr>
        <w:t>capitalise</w:t>
      </w:r>
      <w:proofErr w:type="spellEnd"/>
      <w:r w:rsidRPr="009A3A8F">
        <w:rPr>
          <w:color w:val="000000"/>
          <w:sz w:val="20"/>
          <w:szCs w:val="20"/>
        </w:rPr>
        <w:t xml:space="preserve"> on the positive potential of AI while mitigating its negative impacts. Some previous studies have explored the benefits of AI in education, such as increased efficiency in education administration and </w:t>
      </w:r>
      <w:proofErr w:type="spellStart"/>
      <w:r w:rsidRPr="009A3A8F">
        <w:rPr>
          <w:color w:val="000000"/>
          <w:sz w:val="20"/>
          <w:szCs w:val="20"/>
        </w:rPr>
        <w:t>personalisation</w:t>
      </w:r>
      <w:proofErr w:type="spellEnd"/>
      <w:r w:rsidRPr="009A3A8F">
        <w:rPr>
          <w:color w:val="000000"/>
          <w:sz w:val="20"/>
          <w:szCs w:val="20"/>
        </w:rPr>
        <w:t xml:space="preserve"> of learning</w:t>
      </w:r>
      <w:r>
        <w:rPr>
          <w:color w:val="000000"/>
          <w:sz w:val="20"/>
          <w:szCs w:val="20"/>
        </w:rPr>
        <w:t xml:space="preserve"> (</w:t>
      </w:r>
      <w:proofErr w:type="spellStart"/>
      <w:r>
        <w:rPr>
          <w:color w:val="000000"/>
          <w:sz w:val="20"/>
          <w:szCs w:val="20"/>
        </w:rPr>
        <w:t>Mairisiska</w:t>
      </w:r>
      <w:proofErr w:type="spellEnd"/>
      <w:r>
        <w:rPr>
          <w:color w:val="000000"/>
          <w:sz w:val="20"/>
          <w:szCs w:val="20"/>
        </w:rPr>
        <w:t xml:space="preserve"> and </w:t>
      </w:r>
      <w:proofErr w:type="spellStart"/>
      <w:r>
        <w:rPr>
          <w:color w:val="000000"/>
          <w:sz w:val="20"/>
          <w:szCs w:val="20"/>
        </w:rPr>
        <w:t>Qadariah</w:t>
      </w:r>
      <w:proofErr w:type="spellEnd"/>
      <w:r>
        <w:rPr>
          <w:color w:val="000000"/>
          <w:sz w:val="20"/>
          <w:szCs w:val="20"/>
        </w:rPr>
        <w:t xml:space="preserve">, </w:t>
      </w:r>
      <w:r w:rsidRPr="00FA26EF">
        <w:rPr>
          <w:color w:val="000000"/>
          <w:sz w:val="20"/>
          <w:szCs w:val="20"/>
        </w:rPr>
        <w:t>2023)</w:t>
      </w:r>
      <w:r w:rsidRPr="009A3A8F">
        <w:rPr>
          <w:color w:val="000000"/>
          <w:sz w:val="20"/>
          <w:szCs w:val="20"/>
        </w:rPr>
        <w:t>. However, other research has pointed out risks such as over-reliance on technology, decreased analytical skills, and potential breaches of academic integrity such as cheating on academic assignments</w:t>
      </w:r>
      <w:r>
        <w:rPr>
          <w:color w:val="000000"/>
          <w:sz w:val="20"/>
          <w:szCs w:val="20"/>
        </w:rPr>
        <w:t xml:space="preserve"> (Oravec, 2023). </w:t>
      </w:r>
      <w:r w:rsidRPr="009A3A8F">
        <w:rPr>
          <w:color w:val="000000"/>
          <w:sz w:val="20"/>
          <w:szCs w:val="20"/>
        </w:rPr>
        <w:t>Various approaches have been proposed to address these challenges, including stricter policy settings, the development of an ethics of AI use, and improving digital literacy among students and educators</w:t>
      </w:r>
      <w:r>
        <w:rPr>
          <w:color w:val="000000"/>
          <w:sz w:val="20"/>
          <w:szCs w:val="20"/>
        </w:rPr>
        <w:t xml:space="preserve"> (Miao et al, 2021. Birks &amp; Clare, 2023. </w:t>
      </w:r>
      <w:proofErr w:type="spellStart"/>
      <w:r>
        <w:rPr>
          <w:color w:val="000000"/>
          <w:sz w:val="20"/>
          <w:szCs w:val="20"/>
        </w:rPr>
        <w:t>Darajati</w:t>
      </w:r>
      <w:proofErr w:type="spellEnd"/>
      <w:r>
        <w:rPr>
          <w:color w:val="000000"/>
          <w:sz w:val="20"/>
          <w:szCs w:val="20"/>
        </w:rPr>
        <w:t xml:space="preserve"> et al, 2023)</w:t>
      </w:r>
      <w:r w:rsidRPr="009A3A8F">
        <w:rPr>
          <w:color w:val="000000"/>
          <w:sz w:val="20"/>
          <w:szCs w:val="20"/>
        </w:rPr>
        <w:t>.</w:t>
      </w:r>
      <w:r>
        <w:rPr>
          <w:color w:val="000000"/>
          <w:sz w:val="20"/>
          <w:szCs w:val="20"/>
        </w:rPr>
        <w:t xml:space="preserve"> </w:t>
      </w:r>
      <w:r w:rsidRPr="00C12506">
        <w:rPr>
          <w:color w:val="000000"/>
          <w:sz w:val="20"/>
          <w:szCs w:val="20"/>
        </w:rPr>
        <w:t>This research seeks to answer this question by employing a capacity development-centered approach as outlined in the U</w:t>
      </w:r>
      <w:r>
        <w:rPr>
          <w:color w:val="000000"/>
          <w:sz w:val="20"/>
          <w:szCs w:val="20"/>
        </w:rPr>
        <w:t xml:space="preserve">N Sustainable Development Goals </w:t>
      </w:r>
      <w:r w:rsidRPr="00C12506">
        <w:rPr>
          <w:color w:val="000000"/>
          <w:sz w:val="20"/>
          <w:szCs w:val="20"/>
        </w:rPr>
        <w:t>2017 framework. Unlike previous studies that primarily focus on the technological or ethical aspects of AI, this research highlights the importance of building capacity at three levels: individual, organizational, and environmental, to create a balanced and sustainable integration of AI in education</w:t>
      </w:r>
      <w:r>
        <w:rPr>
          <w:color w:val="000000"/>
          <w:sz w:val="20"/>
          <w:szCs w:val="20"/>
        </w:rPr>
        <w:t xml:space="preserve">. </w:t>
      </w:r>
    </w:p>
    <w:p w14:paraId="5E32C064" w14:textId="77777777" w:rsidR="00640082" w:rsidRPr="00244720" w:rsidRDefault="00640082" w:rsidP="00C12506">
      <w:pPr>
        <w:pStyle w:val="NormalWeb"/>
        <w:spacing w:before="0" w:beforeAutospacing="0" w:after="0" w:afterAutospacing="0"/>
        <w:jc w:val="both"/>
        <w:rPr>
          <w:color w:val="000000"/>
          <w:sz w:val="20"/>
          <w:szCs w:val="20"/>
        </w:rPr>
      </w:pPr>
    </w:p>
    <w:p w14:paraId="5C0BA2FA" w14:textId="77777777" w:rsidR="00640082" w:rsidRDefault="00640082" w:rsidP="009A3A8F">
      <w:pPr>
        <w:pStyle w:val="NormalWeb"/>
        <w:spacing w:before="0" w:beforeAutospacing="0" w:after="0" w:afterAutospacing="0"/>
        <w:ind w:left="360"/>
        <w:jc w:val="both"/>
        <w:rPr>
          <w:color w:val="000000"/>
          <w:sz w:val="20"/>
          <w:szCs w:val="20"/>
        </w:rPr>
      </w:pPr>
      <w:r w:rsidRPr="009A3A8F">
        <w:rPr>
          <w:color w:val="000000"/>
          <w:sz w:val="20"/>
          <w:szCs w:val="20"/>
        </w:rPr>
        <w:t xml:space="preserve">This paper aims to explore how a capacity building approach based on the UN SDG 2017 framework can be an effective alternative solution to address the debate on the positive and negative impacts of AI in education. Using a descriptive literature review method, this study will </w:t>
      </w:r>
      <w:proofErr w:type="spellStart"/>
      <w:r w:rsidRPr="009A3A8F">
        <w:rPr>
          <w:color w:val="000000"/>
          <w:sz w:val="20"/>
          <w:szCs w:val="20"/>
        </w:rPr>
        <w:t>analyse</w:t>
      </w:r>
      <w:proofErr w:type="spellEnd"/>
      <w:r w:rsidRPr="009A3A8F">
        <w:rPr>
          <w:color w:val="000000"/>
          <w:sz w:val="20"/>
          <w:szCs w:val="20"/>
        </w:rPr>
        <w:t xml:space="preserve"> relevant literature to identify capacity building strategies that can be applied at all three levels. This study also aims to provide recommendations for policy makers in designing regulations that support capacity building at the enabling environment level, thus creating an educational ecosystem that is adaptive to technological developments.</w:t>
      </w:r>
    </w:p>
    <w:p w14:paraId="45784B2E" w14:textId="77777777" w:rsidR="00640082" w:rsidRDefault="00640082" w:rsidP="009A3A8F">
      <w:pPr>
        <w:pStyle w:val="NormalWeb"/>
        <w:spacing w:before="0" w:beforeAutospacing="0" w:after="0" w:afterAutospacing="0"/>
        <w:ind w:left="360"/>
        <w:jc w:val="both"/>
        <w:rPr>
          <w:color w:val="000000"/>
          <w:sz w:val="20"/>
          <w:szCs w:val="20"/>
        </w:rPr>
      </w:pPr>
    </w:p>
    <w:p w14:paraId="32E8EEF1" w14:textId="77777777" w:rsidR="00640082" w:rsidRDefault="00640082" w:rsidP="009A3A8F">
      <w:pPr>
        <w:pStyle w:val="NormalWeb"/>
        <w:spacing w:before="0" w:beforeAutospacing="0" w:after="0" w:afterAutospacing="0"/>
        <w:ind w:left="360"/>
        <w:jc w:val="both"/>
        <w:rPr>
          <w:color w:val="000000"/>
          <w:sz w:val="20"/>
          <w:szCs w:val="20"/>
        </w:rPr>
      </w:pPr>
      <w:r w:rsidRPr="009A3A8F">
        <w:rPr>
          <w:color w:val="000000"/>
          <w:sz w:val="20"/>
          <w:szCs w:val="20"/>
        </w:rPr>
        <w:t xml:space="preserve">The novelty of this paper lies in its application of the capacity building approach in the </w:t>
      </w:r>
      <w:proofErr w:type="spellStart"/>
      <w:r w:rsidRPr="009A3A8F">
        <w:rPr>
          <w:color w:val="000000"/>
          <w:sz w:val="20"/>
          <w:szCs w:val="20"/>
        </w:rPr>
        <w:t>utilisation</w:t>
      </w:r>
      <w:proofErr w:type="spellEnd"/>
      <w:r w:rsidRPr="009A3A8F">
        <w:rPr>
          <w:color w:val="000000"/>
          <w:sz w:val="20"/>
          <w:szCs w:val="20"/>
        </w:rPr>
        <w:t xml:space="preserve"> of AI in education, which has rarely been explored in depth. Thus, this paper not only contributes to the academic literature on AI and education, but is expected to be a reference for educational institutions, educators, students, and policy makers in designing sustainable capacity building strategies, so that AI can be optimally </w:t>
      </w:r>
      <w:proofErr w:type="spellStart"/>
      <w:r w:rsidRPr="009A3A8F">
        <w:rPr>
          <w:color w:val="000000"/>
          <w:sz w:val="20"/>
          <w:szCs w:val="20"/>
        </w:rPr>
        <w:t>utilised</w:t>
      </w:r>
      <w:proofErr w:type="spellEnd"/>
      <w:r w:rsidRPr="009A3A8F">
        <w:rPr>
          <w:color w:val="000000"/>
          <w:sz w:val="20"/>
          <w:szCs w:val="20"/>
        </w:rPr>
        <w:t xml:space="preserve"> to improve the quality of education in Indonesia and at the global level.</w:t>
      </w:r>
    </w:p>
    <w:p w14:paraId="2D23551D" w14:textId="77777777" w:rsidR="00640082" w:rsidRPr="00FC4229" w:rsidRDefault="00640082" w:rsidP="00FC4229">
      <w:pPr>
        <w:pStyle w:val="NormalWeb"/>
        <w:spacing w:before="0" w:beforeAutospacing="0" w:after="0" w:afterAutospacing="0"/>
        <w:ind w:firstLine="720"/>
        <w:jc w:val="both"/>
        <w:rPr>
          <w:color w:val="000000"/>
          <w:sz w:val="20"/>
          <w:szCs w:val="20"/>
        </w:rPr>
      </w:pPr>
    </w:p>
    <w:p w14:paraId="3F8510E7" w14:textId="77777777" w:rsidR="00640082" w:rsidRDefault="00640082" w:rsidP="00640082">
      <w:pPr>
        <w:pStyle w:val="ListParagraph"/>
        <w:numPr>
          <w:ilvl w:val="0"/>
          <w:numId w:val="12"/>
        </w:numPr>
        <w:spacing w:after="200" w:line="240" w:lineRule="auto"/>
        <w:rPr>
          <w:rFonts w:ascii="Times New Roman" w:hAnsi="Times New Roman" w:cs="Times New Roman"/>
          <w:b/>
          <w:sz w:val="24"/>
        </w:rPr>
      </w:pPr>
      <w:r w:rsidRPr="00FC4229">
        <w:rPr>
          <w:rFonts w:ascii="Times New Roman" w:hAnsi="Times New Roman" w:cs="Times New Roman"/>
          <w:b/>
          <w:sz w:val="24"/>
        </w:rPr>
        <w:t>Methods</w:t>
      </w:r>
    </w:p>
    <w:p w14:paraId="6EE63FD0" w14:textId="77777777" w:rsidR="00640082" w:rsidRPr="00E10880" w:rsidRDefault="00640082" w:rsidP="00E10880">
      <w:pPr>
        <w:pStyle w:val="ListParagraph"/>
        <w:spacing w:line="240" w:lineRule="auto"/>
        <w:ind w:left="360"/>
        <w:rPr>
          <w:rFonts w:ascii="Times New Roman" w:hAnsi="Times New Roman" w:cs="Times New Roman"/>
          <w:b/>
          <w:sz w:val="24"/>
        </w:rPr>
      </w:pPr>
    </w:p>
    <w:p w14:paraId="122AFCDC" w14:textId="77777777" w:rsidR="00640082" w:rsidRDefault="00640082" w:rsidP="00E10880">
      <w:pPr>
        <w:pStyle w:val="ListParagraph"/>
        <w:spacing w:line="240" w:lineRule="auto"/>
        <w:ind w:left="360"/>
        <w:rPr>
          <w:rFonts w:ascii="Times New Roman" w:hAnsi="Times New Roman" w:cs="Times New Roman"/>
          <w:sz w:val="20"/>
          <w:szCs w:val="20"/>
        </w:rPr>
      </w:pPr>
      <w:r w:rsidRPr="00E10880">
        <w:rPr>
          <w:rFonts w:ascii="Times New Roman" w:hAnsi="Times New Roman" w:cs="Times New Roman"/>
          <w:sz w:val="20"/>
          <w:szCs w:val="20"/>
        </w:rPr>
        <w:t>The study utilized a literature review to examine how capacity-building approaches can address the impacts of AI in education. According to Synder (2019), literature reviews provide a foundation for knowledge development, establish guidelines for policy and practice, and offer evidence of effects. Data collection involved sourcing relevant peer-reviewed articles, policy reports, and empirical studies from academic databases such as Google Scholar, ScienceDirect, and MDPI. The gathered literature was thematically coded, focusing on the three capacity-building levels defined by the UN SDG 2017 framework: individual, organizational, and enabling environment. The data was analyzed using thematic analysis, which allowed the researchers to systematically organize and interpret the literature to uncover meaningful patterns and themes. This approach facilitated a comprehensive synthesis of findings. The analysis categorized data into the three capacity-building levels and synthesized results to highlight recurring themes, identify research gaps, and propose practical recommendations. This structured method ensured a thorough exploration of how capacity-building strategies can enhance AI implementation while mitigating its risks in educational contexts.</w:t>
      </w:r>
    </w:p>
    <w:p w14:paraId="163345C9" w14:textId="77777777" w:rsidR="00640082" w:rsidRPr="00B06A7E" w:rsidRDefault="00640082" w:rsidP="00E10880">
      <w:pPr>
        <w:pStyle w:val="ListParagraph"/>
        <w:spacing w:line="240" w:lineRule="auto"/>
        <w:ind w:left="360"/>
        <w:rPr>
          <w:rFonts w:ascii="Times New Roman" w:hAnsi="Times New Roman" w:cs="Times New Roman"/>
          <w:sz w:val="20"/>
          <w:szCs w:val="20"/>
        </w:rPr>
      </w:pPr>
    </w:p>
    <w:p w14:paraId="4808FCE5" w14:textId="77777777" w:rsidR="00640082" w:rsidRPr="00FC4229" w:rsidRDefault="00640082" w:rsidP="00640082">
      <w:pPr>
        <w:pStyle w:val="ListParagraph"/>
        <w:numPr>
          <w:ilvl w:val="0"/>
          <w:numId w:val="12"/>
        </w:numPr>
        <w:spacing w:after="200" w:line="240" w:lineRule="auto"/>
        <w:rPr>
          <w:rFonts w:ascii="Times New Roman" w:hAnsi="Times New Roman" w:cs="Times New Roman"/>
          <w:b/>
          <w:sz w:val="24"/>
        </w:rPr>
      </w:pPr>
      <w:r w:rsidRPr="00FC4229">
        <w:rPr>
          <w:rFonts w:ascii="Times New Roman" w:hAnsi="Times New Roman" w:cs="Times New Roman"/>
          <w:b/>
          <w:sz w:val="24"/>
        </w:rPr>
        <w:t>Result and Discussion</w:t>
      </w:r>
    </w:p>
    <w:p w14:paraId="1BDAC4F8" w14:textId="77777777" w:rsidR="00640082" w:rsidRDefault="00640082" w:rsidP="00996340">
      <w:pPr>
        <w:spacing w:after="0" w:line="240" w:lineRule="auto"/>
        <w:ind w:left="360"/>
        <w:rPr>
          <w:rFonts w:ascii="Times New Roman" w:hAnsi="Times New Roman" w:cs="Times New Roman"/>
          <w:b/>
          <w:sz w:val="20"/>
          <w:szCs w:val="20"/>
        </w:rPr>
      </w:pPr>
      <w:r w:rsidRPr="006E3F79">
        <w:rPr>
          <w:rFonts w:ascii="Times New Roman" w:hAnsi="Times New Roman" w:cs="Times New Roman"/>
          <w:b/>
          <w:sz w:val="20"/>
          <w:szCs w:val="20"/>
        </w:rPr>
        <w:t>Three Levels of Capacity Building</w:t>
      </w:r>
    </w:p>
    <w:p w14:paraId="32C32786" w14:textId="77777777" w:rsidR="00640082" w:rsidRPr="00371AD2" w:rsidRDefault="00640082" w:rsidP="00996340">
      <w:pPr>
        <w:spacing w:after="0" w:line="240" w:lineRule="auto"/>
        <w:ind w:left="360"/>
        <w:rPr>
          <w:rFonts w:ascii="Times New Roman" w:hAnsi="Times New Roman" w:cs="Times New Roman"/>
          <w:b/>
          <w:sz w:val="20"/>
          <w:szCs w:val="20"/>
        </w:rPr>
      </w:pPr>
    </w:p>
    <w:p w14:paraId="03D019D3" w14:textId="77777777" w:rsidR="00640082" w:rsidRDefault="00640082" w:rsidP="00371AD2">
      <w:pPr>
        <w:spacing w:after="0" w:line="240" w:lineRule="auto"/>
        <w:ind w:left="360"/>
        <w:rPr>
          <w:rFonts w:ascii="Times New Roman" w:hAnsi="Times New Roman" w:cs="Times New Roman"/>
          <w:sz w:val="20"/>
          <w:szCs w:val="20"/>
        </w:rPr>
      </w:pPr>
      <w:r w:rsidRPr="009C737E">
        <w:rPr>
          <w:rFonts w:ascii="Times New Roman" w:hAnsi="Times New Roman" w:cs="Times New Roman"/>
          <w:sz w:val="20"/>
          <w:szCs w:val="20"/>
        </w:rPr>
        <w:t>Addressing capacity building at all levels can ensure that AI's influence on education is not only functional but also fair, ethical, and in line with the long-term goals of education. To be more specific, I will break it</w:t>
      </w:r>
      <w:r>
        <w:rPr>
          <w:rFonts w:ascii="Times New Roman" w:hAnsi="Times New Roman" w:cs="Times New Roman"/>
          <w:sz w:val="20"/>
          <w:szCs w:val="20"/>
        </w:rPr>
        <w:t xml:space="preserve"> down by each level of capacity</w:t>
      </w:r>
      <w:r w:rsidRPr="00146905">
        <w:rPr>
          <w:rFonts w:ascii="Times New Roman" w:hAnsi="Times New Roman" w:cs="Times New Roman"/>
          <w:sz w:val="20"/>
          <w:szCs w:val="20"/>
        </w:rPr>
        <w:t>:</w:t>
      </w:r>
    </w:p>
    <w:p w14:paraId="617B5478" w14:textId="77777777" w:rsidR="00640082" w:rsidRDefault="00640082" w:rsidP="00371AD2">
      <w:pPr>
        <w:spacing w:after="0" w:line="240" w:lineRule="auto"/>
        <w:ind w:left="360"/>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7472C997" wp14:editId="295D9744">
            <wp:extent cx="4152900" cy="1257300"/>
            <wp:effectExtent l="0" t="0" r="0" b="19050"/>
            <wp:docPr id="1622366855" name="Diagram 16223668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739A268E" w14:textId="77777777" w:rsidR="007D63BA" w:rsidRDefault="007D63BA" w:rsidP="00371AD2">
      <w:pPr>
        <w:spacing w:after="0" w:line="240" w:lineRule="auto"/>
        <w:ind w:left="360"/>
        <w:jc w:val="center"/>
        <w:rPr>
          <w:rFonts w:ascii="Times New Roman" w:hAnsi="Times New Roman" w:cs="Times New Roman"/>
          <w:b/>
          <w:szCs w:val="20"/>
        </w:rPr>
      </w:pPr>
    </w:p>
    <w:p w14:paraId="53646EDD" w14:textId="3B061681" w:rsidR="00640082" w:rsidRDefault="00640082" w:rsidP="00371AD2">
      <w:pPr>
        <w:spacing w:after="0" w:line="240" w:lineRule="auto"/>
        <w:ind w:left="360"/>
        <w:jc w:val="center"/>
        <w:rPr>
          <w:rFonts w:ascii="Times New Roman" w:hAnsi="Times New Roman" w:cs="Times New Roman"/>
          <w:szCs w:val="20"/>
        </w:rPr>
      </w:pPr>
      <w:r w:rsidRPr="00371AD2">
        <w:rPr>
          <w:rFonts w:ascii="Times New Roman" w:hAnsi="Times New Roman" w:cs="Times New Roman"/>
          <w:b/>
          <w:szCs w:val="20"/>
        </w:rPr>
        <w:t xml:space="preserve">Figure.1 </w:t>
      </w:r>
      <w:r w:rsidRPr="00371AD2">
        <w:rPr>
          <w:rFonts w:ascii="Times New Roman" w:hAnsi="Times New Roman" w:cs="Times New Roman"/>
          <w:szCs w:val="20"/>
        </w:rPr>
        <w:t>Capacity Building</w:t>
      </w:r>
    </w:p>
    <w:p w14:paraId="4EFDE402" w14:textId="77777777" w:rsidR="00640082" w:rsidRPr="00371AD2" w:rsidRDefault="00640082" w:rsidP="00371AD2">
      <w:pPr>
        <w:spacing w:after="0" w:line="240" w:lineRule="auto"/>
        <w:ind w:left="360"/>
        <w:jc w:val="center"/>
        <w:rPr>
          <w:rFonts w:ascii="Times New Roman" w:hAnsi="Times New Roman" w:cs="Times New Roman"/>
          <w:szCs w:val="20"/>
        </w:rPr>
      </w:pPr>
    </w:p>
    <w:p w14:paraId="7D2104C1" w14:textId="77777777" w:rsidR="00640082" w:rsidRDefault="00640082" w:rsidP="00640082">
      <w:pPr>
        <w:pStyle w:val="ListParagraph"/>
        <w:numPr>
          <w:ilvl w:val="0"/>
          <w:numId w:val="11"/>
        </w:numPr>
        <w:spacing w:after="200" w:line="240" w:lineRule="auto"/>
        <w:ind w:left="720"/>
        <w:rPr>
          <w:rFonts w:ascii="Times New Roman" w:hAnsi="Times New Roman" w:cs="Times New Roman"/>
          <w:b/>
          <w:sz w:val="20"/>
          <w:szCs w:val="20"/>
        </w:rPr>
      </w:pPr>
      <w:r w:rsidRPr="00DA0526">
        <w:rPr>
          <w:rFonts w:ascii="Times New Roman" w:hAnsi="Times New Roman" w:cs="Times New Roman"/>
          <w:b/>
          <w:sz w:val="20"/>
          <w:szCs w:val="20"/>
        </w:rPr>
        <w:t>Individual Capacity Development: Empowering Learners and Educators</w:t>
      </w:r>
    </w:p>
    <w:p w14:paraId="76C04CC2" w14:textId="77777777" w:rsidR="00640082" w:rsidRPr="0011128E" w:rsidRDefault="00640082" w:rsidP="008207EF">
      <w:pPr>
        <w:pStyle w:val="ListParagraph"/>
        <w:spacing w:line="240" w:lineRule="auto"/>
        <w:rPr>
          <w:rFonts w:ascii="Times New Roman" w:hAnsi="Times New Roman" w:cs="Times New Roman"/>
          <w:b/>
          <w:sz w:val="20"/>
          <w:szCs w:val="20"/>
        </w:rPr>
      </w:pPr>
    </w:p>
    <w:p w14:paraId="4A4D9700" w14:textId="77777777" w:rsidR="00640082" w:rsidRDefault="00640082" w:rsidP="004B4592">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The rapid development of AI requires upskilling to ensure that individuals, in this case students and teachers, can adapt and thrive in an AI-influenced educational environment. Therefore, capacity building at the individual level should focus on how students and teachers have the skills and knowledge needed to use AI effectively. According to Joyce and Cruz in Sociology of AI (2024), AI practitioners are good at making moral claims against the use of AI in academia. Therefore, students and teachers should be provided with digital literacy that includes not only the technical skills of using AI, but also the critical thinking skills to assess the ethical issues of using AI.</w:t>
      </w:r>
    </w:p>
    <w:p w14:paraId="1DA6C3D4" w14:textId="77777777" w:rsidR="00640082" w:rsidRDefault="00640082" w:rsidP="004B4592">
      <w:pPr>
        <w:pStyle w:val="ListParagraph"/>
        <w:spacing w:line="240" w:lineRule="auto"/>
        <w:rPr>
          <w:rFonts w:ascii="Times New Roman" w:hAnsi="Times New Roman" w:cs="Times New Roman"/>
          <w:sz w:val="20"/>
          <w:szCs w:val="20"/>
        </w:rPr>
      </w:pPr>
    </w:p>
    <w:p w14:paraId="21B353EA" w14:textId="77777777" w:rsidR="00640082" w:rsidRDefault="00640082" w:rsidP="004B4592">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According to Long and Magerko (2020), AI literacy is the competencies that individuals need to use AI effectively while critically evaluating its use. Things that must be present in AI literacy are how algorithms work, biases in AI, and the use of AI for personalized learning.</w:t>
      </w:r>
    </w:p>
    <w:p w14:paraId="77A6FED0" w14:textId="77777777" w:rsidR="00640082" w:rsidRDefault="00640082" w:rsidP="004B4592">
      <w:pPr>
        <w:pStyle w:val="ListParagraph"/>
        <w:spacing w:line="240" w:lineRule="auto"/>
        <w:rPr>
          <w:rFonts w:ascii="Times New Roman" w:hAnsi="Times New Roman" w:cs="Times New Roman"/>
          <w:sz w:val="20"/>
          <w:szCs w:val="20"/>
        </w:rPr>
      </w:pPr>
    </w:p>
    <w:p w14:paraId="5C8A645A" w14:textId="77777777" w:rsidR="00640082" w:rsidRDefault="00640082" w:rsidP="00DA0526">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There have been many studies that prove that the use of technology, including AI, reduces human critical thinking. The problem is of course that it is difficult for individuals not to use AI because those who do not use AI will be disrupted by those who use AI. In order to overcome this, individuals need to be encouraged to continue learning amidst the convenience that AI provides. There is a relevant concept in this regard, namely “Lifelong Learning”. According to Poquet and de Laat (2024), encouraging a culture of Lifelong Learning is essential for the adaptability and competitiveness of individuals.</w:t>
      </w:r>
    </w:p>
    <w:p w14:paraId="4438B506" w14:textId="77777777" w:rsidR="00640082" w:rsidRPr="00045178" w:rsidRDefault="00640082" w:rsidP="00DA0526">
      <w:pPr>
        <w:pStyle w:val="ListParagraph"/>
        <w:spacing w:line="240" w:lineRule="auto"/>
        <w:rPr>
          <w:rFonts w:ascii="Times New Roman" w:hAnsi="Times New Roman" w:cs="Times New Roman"/>
          <w:b/>
          <w:sz w:val="20"/>
          <w:szCs w:val="20"/>
        </w:rPr>
      </w:pPr>
    </w:p>
    <w:p w14:paraId="4E858956" w14:textId="77777777" w:rsidR="00640082" w:rsidRDefault="00640082" w:rsidP="00640082">
      <w:pPr>
        <w:pStyle w:val="ListParagraph"/>
        <w:numPr>
          <w:ilvl w:val="0"/>
          <w:numId w:val="11"/>
        </w:numPr>
        <w:spacing w:after="200" w:line="240" w:lineRule="auto"/>
        <w:ind w:left="720"/>
        <w:rPr>
          <w:rFonts w:ascii="Times New Roman" w:hAnsi="Times New Roman" w:cs="Times New Roman"/>
          <w:b/>
          <w:sz w:val="20"/>
          <w:szCs w:val="20"/>
        </w:rPr>
      </w:pPr>
      <w:r w:rsidRPr="00DA0526">
        <w:rPr>
          <w:rFonts w:ascii="Times New Roman" w:hAnsi="Times New Roman" w:cs="Times New Roman"/>
          <w:b/>
          <w:sz w:val="20"/>
          <w:szCs w:val="20"/>
        </w:rPr>
        <w:t>Organizational Capacity Development: Transforming Educational Institutions</w:t>
      </w:r>
    </w:p>
    <w:p w14:paraId="73F28021" w14:textId="77777777" w:rsidR="00640082" w:rsidRDefault="00640082" w:rsidP="0023562F">
      <w:pPr>
        <w:pStyle w:val="ListParagraph"/>
        <w:spacing w:line="240" w:lineRule="auto"/>
        <w:rPr>
          <w:rFonts w:ascii="Times New Roman" w:hAnsi="Times New Roman" w:cs="Times New Roman"/>
          <w:b/>
          <w:sz w:val="20"/>
          <w:szCs w:val="20"/>
        </w:rPr>
      </w:pPr>
    </w:p>
    <w:p w14:paraId="392A74AA" w14:textId="77777777" w:rsidR="00640082" w:rsidRDefault="00640082" w:rsidP="00DA0526">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Capacity building is focused on transforming educational institutions to effectively integrate AI technologies while maintaining their core mission of providing quality education. Educational institutions should develop strategic plans to integrate AI into their curriculum, administration, and research activities. This includes investing in AI infrastructure, forming partnerships with technology providers, and aligning AI initiatives with educational goals. The potential for AI to exacerbate inequality (Kim, 2024. Bulathwela et al., 2024) means that institutions should design AI systems that are accessible to diverse student populations, especially those from marginalized backgrounds.</w:t>
      </w:r>
    </w:p>
    <w:p w14:paraId="2CCA6F35" w14:textId="77777777" w:rsidR="00640082" w:rsidRDefault="00640082" w:rsidP="00DA0526">
      <w:pPr>
        <w:pStyle w:val="ListParagraph"/>
        <w:spacing w:line="240" w:lineRule="auto"/>
        <w:rPr>
          <w:rFonts w:ascii="Times New Roman" w:hAnsi="Times New Roman" w:cs="Times New Roman"/>
          <w:sz w:val="20"/>
          <w:szCs w:val="20"/>
        </w:rPr>
      </w:pPr>
    </w:p>
    <w:p w14:paraId="6D1908BC" w14:textId="77777777" w:rsidR="00640082" w:rsidRDefault="00640082" w:rsidP="00996340">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In addition, educational institutions should provide continuous professional development for educators to ensure they can effectively utilize AI tools in their teaching practices. This can be done through training in instructional design, data analysis, and ethical use of AI in education. According to Helmiatin et al (2024), this rush to AI adoption will likely result in more change-resistant users, and even well-implemented facilitation conditions may not be able to fully overcome this resistance. Therefore, the adoption of AI in educational institutions needs to be done slowly and carefully to allow time for students and educators to adapt.</w:t>
      </w:r>
    </w:p>
    <w:p w14:paraId="7471153F" w14:textId="77777777" w:rsidR="00640082" w:rsidRPr="00996340" w:rsidRDefault="00640082" w:rsidP="00996340">
      <w:pPr>
        <w:pStyle w:val="ListParagraph"/>
        <w:spacing w:line="240" w:lineRule="auto"/>
        <w:rPr>
          <w:rFonts w:ascii="Times New Roman" w:hAnsi="Times New Roman" w:cs="Times New Roman"/>
          <w:sz w:val="20"/>
          <w:szCs w:val="20"/>
        </w:rPr>
      </w:pPr>
    </w:p>
    <w:p w14:paraId="314902F4" w14:textId="77777777" w:rsidR="00640082" w:rsidRPr="009211E4" w:rsidRDefault="00640082" w:rsidP="00640082">
      <w:pPr>
        <w:pStyle w:val="ListParagraph"/>
        <w:numPr>
          <w:ilvl w:val="0"/>
          <w:numId w:val="11"/>
        </w:numPr>
        <w:spacing w:after="200" w:line="240" w:lineRule="auto"/>
        <w:ind w:left="720"/>
        <w:rPr>
          <w:rFonts w:ascii="Times New Roman" w:hAnsi="Times New Roman" w:cs="Times New Roman"/>
          <w:b/>
          <w:sz w:val="20"/>
          <w:szCs w:val="20"/>
        </w:rPr>
      </w:pPr>
      <w:r w:rsidRPr="00DA0526">
        <w:rPr>
          <w:rFonts w:ascii="Times New Roman" w:hAnsi="Times New Roman" w:cs="Times New Roman"/>
          <w:b/>
          <w:sz w:val="20"/>
          <w:szCs w:val="20"/>
        </w:rPr>
        <w:t>Enabling Environment: Creating Supportive Policies and Frameworks</w:t>
      </w:r>
    </w:p>
    <w:p w14:paraId="5903283A" w14:textId="77777777" w:rsidR="00640082" w:rsidRPr="0015448E" w:rsidRDefault="00640082" w:rsidP="0015448E">
      <w:pPr>
        <w:pStyle w:val="ListParagraph"/>
        <w:spacing w:line="240" w:lineRule="auto"/>
        <w:jc w:val="center"/>
        <w:rPr>
          <w:rFonts w:ascii="Times New Roman" w:hAnsi="Times New Roman" w:cs="Times New Roman"/>
          <w:szCs w:val="20"/>
        </w:rPr>
      </w:pPr>
    </w:p>
    <w:p w14:paraId="692B0DE3" w14:textId="77777777" w:rsidR="00640082" w:rsidRDefault="00640082" w:rsidP="00373A1F">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Enabling Environment is the supportive legal and policy framework as well as its implementation and enforcement. Not to be confused with institutions, the enabling environment focuses on ecosystem conditions, including external factors such as the legal framework, political stability, social support, and access to resources. Whereas institutions are only oriented towards specific structures and actors that carry out specific policies or functions.</w:t>
      </w:r>
    </w:p>
    <w:p w14:paraId="33C0AEFB" w14:textId="77777777" w:rsidR="00640082" w:rsidRDefault="00640082" w:rsidP="00373A1F">
      <w:pPr>
        <w:pStyle w:val="ListParagraph"/>
        <w:spacing w:line="240" w:lineRule="auto"/>
        <w:rPr>
          <w:rFonts w:ascii="Times New Roman" w:hAnsi="Times New Roman" w:cs="Times New Roman"/>
          <w:sz w:val="20"/>
          <w:szCs w:val="20"/>
        </w:rPr>
      </w:pPr>
    </w:p>
    <w:p w14:paraId="0205B425" w14:textId="77777777" w:rsidR="00640082" w:rsidRDefault="00640082" w:rsidP="008668D7">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The capacity of the enabling environment is very relevant when it comes to the phenomenon of students using ChatGPT to cheat or commit plagiarism in academic assignments which is increasingly rampant. This can happen because until now there is no clear regulation regarding the use of AI in education. Until now, the Ministry of Education and Culture has only issued guidelines for the use of generative AI for lecturers and students. In fact, educational institutions must also have regulations and policies to regulate and provide certainty for the use of AI, not just guidelines (Ramli, 2024).</w:t>
      </w:r>
    </w:p>
    <w:p w14:paraId="2FDCA491" w14:textId="77777777" w:rsidR="00640082" w:rsidRDefault="00640082" w:rsidP="008668D7">
      <w:pPr>
        <w:pStyle w:val="ListParagraph"/>
        <w:spacing w:line="240" w:lineRule="auto"/>
        <w:rPr>
          <w:rFonts w:ascii="Times New Roman" w:hAnsi="Times New Roman" w:cs="Times New Roman"/>
          <w:sz w:val="20"/>
          <w:szCs w:val="20"/>
        </w:rPr>
      </w:pPr>
    </w:p>
    <w:p w14:paraId="3EA22033" w14:textId="77777777" w:rsidR="00640082" w:rsidRDefault="00640082" w:rsidP="00E10880">
      <w:pPr>
        <w:pStyle w:val="ListParagraph"/>
        <w:spacing w:line="240" w:lineRule="auto"/>
        <w:rPr>
          <w:rFonts w:ascii="Times New Roman" w:hAnsi="Times New Roman" w:cs="Times New Roman"/>
          <w:sz w:val="20"/>
          <w:szCs w:val="20"/>
        </w:rPr>
      </w:pPr>
      <w:r w:rsidRPr="009C737E">
        <w:rPr>
          <w:rFonts w:ascii="Times New Roman" w:hAnsi="Times New Roman" w:cs="Times New Roman"/>
          <w:sz w:val="20"/>
          <w:szCs w:val="20"/>
        </w:rPr>
        <w:t>The capacity of the enabling environment in this case should focus on strengthening policies and regulations as well as partnerships that facilitate the sustainable integration of AI. Therefore, the government as a policy maker must create clear policies that address data privacy, ethical use of AI, and accountability in education (Ramli, 2024). The existence of clear and effective regulations is essential to guide educational institutions in creating rules that ensure the use of AI complies with established government guidelines.</w:t>
      </w:r>
    </w:p>
    <w:p w14:paraId="6CBA26FB" w14:textId="77777777" w:rsidR="00640082" w:rsidRDefault="00640082" w:rsidP="00E10880">
      <w:pPr>
        <w:pStyle w:val="ListParagraph"/>
        <w:spacing w:line="240" w:lineRule="auto"/>
        <w:rPr>
          <w:rFonts w:ascii="Times New Roman" w:hAnsi="Times New Roman" w:cs="Times New Roman"/>
          <w:sz w:val="20"/>
          <w:szCs w:val="20"/>
        </w:rPr>
      </w:pPr>
    </w:p>
    <w:p w14:paraId="3C765EF3" w14:textId="77777777" w:rsidR="00640082" w:rsidRDefault="00640082" w:rsidP="00E10880">
      <w:pPr>
        <w:pStyle w:val="ListParagraph"/>
        <w:spacing w:line="240" w:lineRule="auto"/>
        <w:rPr>
          <w:rFonts w:ascii="Times New Roman" w:hAnsi="Times New Roman" w:cs="Times New Roman"/>
          <w:sz w:val="20"/>
          <w:szCs w:val="20"/>
        </w:rPr>
      </w:pPr>
      <w:r w:rsidRPr="00E10880">
        <w:rPr>
          <w:rFonts w:ascii="Times New Roman" w:hAnsi="Times New Roman" w:cs="Times New Roman"/>
          <w:sz w:val="20"/>
          <w:szCs w:val="20"/>
        </w:rPr>
        <w:t>To make these policies more acceptable, they should involve multi-stakeholder consultations, including educators, technologists, and civil society. Inclusive consultation builds trust in the policy-making process. If the government can establish a regulatory framework that ensures that AI systems are designed to be accessible and non-discriminatory, especially for marginalized communities.</w:t>
      </w:r>
    </w:p>
    <w:p w14:paraId="24255C2F" w14:textId="77777777" w:rsidR="00640082" w:rsidRPr="00E10880" w:rsidRDefault="00640082" w:rsidP="00E10880">
      <w:pPr>
        <w:pStyle w:val="ListParagraph"/>
        <w:spacing w:line="240" w:lineRule="auto"/>
        <w:rPr>
          <w:rFonts w:ascii="Times New Roman" w:hAnsi="Times New Roman" w:cs="Times New Roman"/>
          <w:sz w:val="20"/>
          <w:szCs w:val="20"/>
        </w:rPr>
      </w:pPr>
    </w:p>
    <w:p w14:paraId="484E2AA0" w14:textId="77777777" w:rsidR="00640082" w:rsidRPr="009C737E" w:rsidRDefault="00640082" w:rsidP="00640082">
      <w:pPr>
        <w:pStyle w:val="ListParagraph"/>
        <w:numPr>
          <w:ilvl w:val="0"/>
          <w:numId w:val="11"/>
        </w:numPr>
        <w:spacing w:after="200" w:line="240" w:lineRule="auto"/>
        <w:rPr>
          <w:rFonts w:ascii="Times New Roman" w:hAnsi="Times New Roman" w:cs="Times New Roman"/>
          <w:b/>
          <w:sz w:val="24"/>
        </w:rPr>
      </w:pPr>
      <w:r w:rsidRPr="00FC4229">
        <w:rPr>
          <w:rFonts w:ascii="Times New Roman" w:hAnsi="Times New Roman" w:cs="Times New Roman"/>
          <w:b/>
          <w:sz w:val="24"/>
        </w:rPr>
        <w:t>Conclusions</w:t>
      </w:r>
    </w:p>
    <w:p w14:paraId="79C614C3" w14:textId="77777777" w:rsidR="00640082" w:rsidRDefault="00640082" w:rsidP="009C737E">
      <w:pPr>
        <w:spacing w:after="0" w:line="240" w:lineRule="auto"/>
        <w:ind w:left="360"/>
        <w:rPr>
          <w:rFonts w:ascii="Times New Roman" w:eastAsia="Times New Roman" w:hAnsi="Times New Roman" w:cs="Times New Roman"/>
          <w:sz w:val="20"/>
          <w:szCs w:val="20"/>
          <w:lang w:eastAsia="id-ID"/>
        </w:rPr>
      </w:pPr>
      <w:r w:rsidRPr="009C737E">
        <w:rPr>
          <w:rFonts w:ascii="Times New Roman" w:eastAsia="Times New Roman" w:hAnsi="Times New Roman" w:cs="Times New Roman"/>
          <w:sz w:val="20"/>
          <w:szCs w:val="20"/>
          <w:lang w:eastAsia="id-ID"/>
        </w:rPr>
        <w:t>This paper reveals that capacity building at three levels; individual, institutional and enabling environment are key factors in addressing the impact of artificial intelligence (AI) in education. At the individual level, AI literacy and a lifelong learning mindset are key foundations for students and educators to adapt well to rapid technological advancements. At the institutional level, it is crucial for educational institutions to strategically integrate AI into curricula and teaching practices, and ensure that educators receive adequate and relevant training. Meanwhile, at the enabling environment level, supportive policies and fair regulations are essential elements to ensure the ethical and inclusive application of AI in the education sector.</w:t>
      </w:r>
    </w:p>
    <w:p w14:paraId="3F177879" w14:textId="77777777" w:rsidR="00640082" w:rsidRPr="009C737E" w:rsidRDefault="00640082" w:rsidP="009C737E">
      <w:pPr>
        <w:spacing w:after="0" w:line="240" w:lineRule="auto"/>
        <w:ind w:left="360"/>
        <w:rPr>
          <w:rFonts w:ascii="Times New Roman" w:eastAsia="Times New Roman" w:hAnsi="Times New Roman" w:cs="Times New Roman"/>
          <w:sz w:val="20"/>
          <w:szCs w:val="20"/>
          <w:lang w:eastAsia="id-ID"/>
        </w:rPr>
      </w:pPr>
    </w:p>
    <w:p w14:paraId="027588B6" w14:textId="77777777" w:rsidR="00640082" w:rsidRDefault="00640082" w:rsidP="009C737E">
      <w:pPr>
        <w:spacing w:after="0" w:line="240" w:lineRule="auto"/>
        <w:ind w:left="360"/>
        <w:rPr>
          <w:rFonts w:ascii="Times New Roman" w:eastAsia="Times New Roman" w:hAnsi="Times New Roman" w:cs="Times New Roman"/>
          <w:sz w:val="20"/>
          <w:szCs w:val="20"/>
          <w:lang w:eastAsia="id-ID"/>
        </w:rPr>
      </w:pPr>
      <w:r w:rsidRPr="009C737E">
        <w:rPr>
          <w:rFonts w:ascii="Times New Roman" w:eastAsia="Times New Roman" w:hAnsi="Times New Roman" w:cs="Times New Roman"/>
          <w:sz w:val="20"/>
          <w:szCs w:val="20"/>
          <w:lang w:eastAsia="id-ID"/>
        </w:rPr>
        <w:t>The implications of this paper emphasize that to create an inclusive and sustainable education system in the era of AI, all three levels of capacity development must work synergistically. AI's impact on education presents both opportunities and challenges, so capacity development approaches are needed at all three levels: individual, institutional, and enabling environment. Each level needs to be carefully considered as they are interdependent to create an educational environment that can adapt to AI in a comprehensive and sustainable manner. The individual level of capacity ensures that learners and educators have sufficient skills to use AI effectively, but this will not work without institutional support such as institutional policies, infrastructure, and individualized training. Even well-equipped institutions cannot thrive in isolation without an enabling environment that provides supportive policies, ethical regulations, and public-private partnerships to responsibly scale up AI innovation. Neglecting any of the tiers can lead to imbalances, such as increased inequality and ethical scrutiny, which can undermine the overall effectiveness of AI in education.</w:t>
      </w:r>
    </w:p>
    <w:p w14:paraId="720A5DEB" w14:textId="77777777" w:rsidR="00640082" w:rsidRDefault="00640082" w:rsidP="009C737E">
      <w:pPr>
        <w:spacing w:after="0" w:line="240" w:lineRule="auto"/>
        <w:ind w:left="360"/>
        <w:rPr>
          <w:rFonts w:ascii="Times New Roman" w:eastAsia="Times New Roman" w:hAnsi="Times New Roman" w:cs="Times New Roman"/>
          <w:sz w:val="20"/>
          <w:szCs w:val="20"/>
          <w:lang w:eastAsia="id-ID"/>
        </w:rPr>
      </w:pPr>
    </w:p>
    <w:p w14:paraId="12C1FC3C" w14:textId="77777777" w:rsidR="00640082" w:rsidRDefault="00640082" w:rsidP="001E1136">
      <w:pPr>
        <w:spacing w:after="0" w:line="240" w:lineRule="auto"/>
        <w:ind w:left="360"/>
        <w:rPr>
          <w:rFonts w:ascii="Times New Roman" w:eastAsia="Times New Roman" w:hAnsi="Times New Roman" w:cs="Times New Roman"/>
          <w:sz w:val="20"/>
          <w:szCs w:val="20"/>
          <w:lang w:eastAsia="id-ID"/>
        </w:rPr>
      </w:pPr>
      <w:r w:rsidRPr="009C737E">
        <w:rPr>
          <w:rFonts w:ascii="Times New Roman" w:eastAsia="Times New Roman" w:hAnsi="Times New Roman" w:cs="Times New Roman"/>
          <w:sz w:val="20"/>
          <w:szCs w:val="20"/>
          <w:lang w:eastAsia="id-ID"/>
        </w:rPr>
        <w:t>The limitation of this study lies in its focus only on the capacity building perspective in the general education context, without considering social and cultural factors that may influence AI adoption and implementation. In addition, the application of AI in education may vary depending on local conditions and available resources in each region. The contribution of this research lies in a deeper understanding of the importance of a multidimensional approach to AI capacity building in the education sector. Nonetheless, to get a more holistic picture, further research is recommended to involve a broader analysis.</w:t>
      </w:r>
    </w:p>
    <w:p w14:paraId="36F63794" w14:textId="77777777" w:rsidR="00640082" w:rsidRPr="001E1136" w:rsidRDefault="00640082" w:rsidP="001E1136">
      <w:pPr>
        <w:spacing w:after="0" w:line="240" w:lineRule="auto"/>
        <w:ind w:left="360"/>
        <w:rPr>
          <w:rFonts w:ascii="Times New Roman" w:eastAsia="Times New Roman" w:hAnsi="Times New Roman" w:cs="Times New Roman"/>
          <w:sz w:val="20"/>
          <w:szCs w:val="20"/>
          <w:lang w:eastAsia="id-ID"/>
        </w:rPr>
      </w:pPr>
    </w:p>
    <w:p w14:paraId="1EBF01EF" w14:textId="77777777" w:rsidR="00640082" w:rsidRDefault="00640082" w:rsidP="009C737E">
      <w:pPr>
        <w:spacing w:line="240" w:lineRule="auto"/>
        <w:rPr>
          <w:rFonts w:ascii="Times New Roman" w:hAnsi="Times New Roman" w:cs="Times New Roman"/>
          <w:b/>
          <w:sz w:val="24"/>
        </w:rPr>
      </w:pPr>
      <w:r>
        <w:rPr>
          <w:rFonts w:ascii="Times New Roman" w:hAnsi="Times New Roman" w:cs="Times New Roman"/>
          <w:b/>
          <w:sz w:val="24"/>
        </w:rPr>
        <w:t>Reference</w:t>
      </w:r>
    </w:p>
    <w:p w14:paraId="20B9E726" w14:textId="77777777" w:rsidR="00640082" w:rsidRDefault="00640082" w:rsidP="003C626F">
      <w:pPr>
        <w:spacing w:after="0" w:line="240" w:lineRule="auto"/>
        <w:ind w:left="993" w:hanging="709"/>
        <w:rPr>
          <w:rFonts w:ascii="Times New Roman" w:hAnsi="Times New Roman" w:cs="Times New Roman"/>
          <w:sz w:val="20"/>
          <w:szCs w:val="20"/>
        </w:rPr>
      </w:pPr>
      <w:r w:rsidRPr="00E63E62">
        <w:rPr>
          <w:rFonts w:ascii="Times New Roman" w:hAnsi="Times New Roman" w:cs="Times New Roman"/>
          <w:sz w:val="20"/>
          <w:szCs w:val="20"/>
        </w:rPr>
        <w:t xml:space="preserve">Birks, D., &amp; Clare, J. (2023). Linking artificial intelligence facilitated academic misconduct to existing prevention frameworks. </w:t>
      </w:r>
      <w:r w:rsidRPr="00E63E62">
        <w:rPr>
          <w:rFonts w:ascii="Times New Roman" w:hAnsi="Times New Roman" w:cs="Times New Roman"/>
          <w:i/>
          <w:sz w:val="20"/>
          <w:szCs w:val="20"/>
        </w:rPr>
        <w:t>International Journal for Educational Integrity</w:t>
      </w:r>
      <w:r w:rsidRPr="00E63E62">
        <w:rPr>
          <w:rFonts w:ascii="Times New Roman" w:hAnsi="Times New Roman" w:cs="Times New Roman"/>
          <w:sz w:val="20"/>
          <w:szCs w:val="20"/>
        </w:rPr>
        <w:t xml:space="preserve">, 19(1), 20.  </w:t>
      </w:r>
      <w:hyperlink r:id="rId92" w:history="1">
        <w:r w:rsidRPr="00E63E62">
          <w:rPr>
            <w:rStyle w:val="Hyperlink"/>
            <w:rFonts w:ascii="Times New Roman" w:hAnsi="Times New Roman" w:cs="Times New Roman"/>
            <w:sz w:val="20"/>
            <w:szCs w:val="20"/>
          </w:rPr>
          <w:t>https://doi.org/10.1007/s40979-023-00142-3</w:t>
        </w:r>
      </w:hyperlink>
    </w:p>
    <w:p w14:paraId="16E54E8F" w14:textId="77777777" w:rsidR="00640082" w:rsidRDefault="00640082" w:rsidP="003C626F">
      <w:pPr>
        <w:spacing w:after="0" w:line="240" w:lineRule="auto"/>
        <w:ind w:left="993" w:hanging="709"/>
        <w:rPr>
          <w:rFonts w:ascii="Times New Roman" w:hAnsi="Times New Roman" w:cs="Times New Roman"/>
          <w:sz w:val="20"/>
          <w:szCs w:val="20"/>
        </w:rPr>
      </w:pPr>
      <w:r w:rsidRPr="00DE43BC">
        <w:rPr>
          <w:rFonts w:ascii="Times New Roman" w:hAnsi="Times New Roman" w:cs="Times New Roman"/>
          <w:sz w:val="20"/>
          <w:szCs w:val="20"/>
        </w:rPr>
        <w:t xml:space="preserve">Bulathwela, S., Pérez-Ortiz, M., Holloway, C., Cukurova, M., &amp; Shawe-Taylor, J. (2024). Artificial intelligence alone will not democratise education: On educational inequality, techno-solutionism and inclusive tools. </w:t>
      </w:r>
      <w:r w:rsidRPr="00B51C87">
        <w:rPr>
          <w:rFonts w:ascii="Times New Roman" w:hAnsi="Times New Roman" w:cs="Times New Roman"/>
          <w:i/>
          <w:sz w:val="20"/>
          <w:szCs w:val="20"/>
        </w:rPr>
        <w:t>Sustainability</w:t>
      </w:r>
      <w:r w:rsidRPr="00DE43BC">
        <w:rPr>
          <w:rFonts w:ascii="Times New Roman" w:hAnsi="Times New Roman" w:cs="Times New Roman"/>
          <w:sz w:val="20"/>
          <w:szCs w:val="20"/>
        </w:rPr>
        <w:t>, 16(2), 781.</w:t>
      </w:r>
      <w:r>
        <w:rPr>
          <w:rFonts w:ascii="Times New Roman" w:hAnsi="Times New Roman" w:cs="Times New Roman"/>
          <w:sz w:val="20"/>
          <w:szCs w:val="20"/>
        </w:rPr>
        <w:t xml:space="preserve"> </w:t>
      </w:r>
      <w:hyperlink r:id="rId93" w:history="1">
        <w:r w:rsidRPr="00755860">
          <w:rPr>
            <w:rStyle w:val="Hyperlink"/>
            <w:rFonts w:ascii="Times New Roman" w:hAnsi="Times New Roman" w:cs="Times New Roman"/>
            <w:sz w:val="20"/>
            <w:szCs w:val="20"/>
          </w:rPr>
          <w:t>https://doi.org/10.3390/su16020781</w:t>
        </w:r>
      </w:hyperlink>
      <w:r>
        <w:rPr>
          <w:rFonts w:ascii="Times New Roman" w:hAnsi="Times New Roman" w:cs="Times New Roman"/>
          <w:sz w:val="20"/>
          <w:szCs w:val="20"/>
        </w:rPr>
        <w:t xml:space="preserve"> </w:t>
      </w:r>
    </w:p>
    <w:p w14:paraId="76038ECD" w14:textId="77777777" w:rsidR="00640082" w:rsidRDefault="00640082" w:rsidP="003C626F">
      <w:pPr>
        <w:spacing w:after="0" w:line="240" w:lineRule="auto"/>
        <w:ind w:left="993" w:hanging="709"/>
        <w:rPr>
          <w:rFonts w:ascii="Times New Roman" w:hAnsi="Times New Roman" w:cs="Times New Roman"/>
          <w:sz w:val="20"/>
          <w:szCs w:val="20"/>
        </w:rPr>
      </w:pPr>
      <w:r w:rsidRPr="00BB5D81">
        <w:rPr>
          <w:rFonts w:ascii="Times New Roman" w:hAnsi="Times New Roman" w:cs="Times New Roman"/>
          <w:sz w:val="20"/>
          <w:szCs w:val="20"/>
        </w:rPr>
        <w:t xml:space="preserve">Chan, C. K. Y. (2023). A comprehensive AI policy education framework for university teaching and learning. </w:t>
      </w:r>
      <w:r w:rsidRPr="00BB5D81">
        <w:rPr>
          <w:rFonts w:ascii="Times New Roman" w:hAnsi="Times New Roman" w:cs="Times New Roman"/>
          <w:i/>
          <w:sz w:val="20"/>
          <w:szCs w:val="20"/>
        </w:rPr>
        <w:t>International journal of educational technology in higher education,</w:t>
      </w:r>
      <w:r w:rsidRPr="00BB5D81">
        <w:rPr>
          <w:rFonts w:ascii="Times New Roman" w:hAnsi="Times New Roman" w:cs="Times New Roman"/>
          <w:sz w:val="20"/>
          <w:szCs w:val="20"/>
        </w:rPr>
        <w:t xml:space="preserve"> 20(1), 38.</w:t>
      </w:r>
      <w:r>
        <w:rPr>
          <w:rFonts w:ascii="Times New Roman" w:hAnsi="Times New Roman" w:cs="Times New Roman"/>
          <w:sz w:val="20"/>
          <w:szCs w:val="20"/>
        </w:rPr>
        <w:t xml:space="preserve"> </w:t>
      </w:r>
      <w:hyperlink r:id="rId94" w:history="1">
        <w:r w:rsidRPr="00755860">
          <w:rPr>
            <w:rStyle w:val="Hyperlink"/>
            <w:rFonts w:ascii="Times New Roman" w:hAnsi="Times New Roman" w:cs="Times New Roman"/>
            <w:sz w:val="20"/>
            <w:szCs w:val="20"/>
          </w:rPr>
          <w:t>https://doi.org/10.1186/s41239-023-00408-3</w:t>
        </w:r>
      </w:hyperlink>
      <w:r>
        <w:rPr>
          <w:rFonts w:ascii="Times New Roman" w:hAnsi="Times New Roman" w:cs="Times New Roman"/>
          <w:sz w:val="20"/>
          <w:szCs w:val="20"/>
        </w:rPr>
        <w:t xml:space="preserve"> </w:t>
      </w:r>
    </w:p>
    <w:p w14:paraId="018A39ED" w14:textId="77777777" w:rsidR="00640082" w:rsidRDefault="00640082" w:rsidP="003C626F">
      <w:pPr>
        <w:spacing w:after="0" w:line="240" w:lineRule="auto"/>
        <w:ind w:left="993" w:hanging="709"/>
        <w:rPr>
          <w:rFonts w:ascii="Times New Roman" w:hAnsi="Times New Roman" w:cs="Times New Roman"/>
          <w:sz w:val="20"/>
          <w:szCs w:val="18"/>
        </w:rPr>
      </w:pPr>
      <w:r w:rsidRPr="00E63E62">
        <w:rPr>
          <w:rFonts w:ascii="Times New Roman" w:hAnsi="Times New Roman" w:cs="Times New Roman"/>
          <w:sz w:val="20"/>
          <w:szCs w:val="18"/>
        </w:rPr>
        <w:t xml:space="preserve">Darajati, M. R., Reswari, R. A., &amp; Yenny, O. (2023). The Adaptation of Artificial Intelligence (AI) In Social Science Education: Opportunities and Threats. </w:t>
      </w:r>
      <w:r w:rsidRPr="00E63E62">
        <w:rPr>
          <w:rFonts w:ascii="Times New Roman" w:hAnsi="Times New Roman" w:cs="Times New Roman"/>
          <w:i/>
          <w:sz w:val="20"/>
          <w:szCs w:val="18"/>
        </w:rPr>
        <w:t>Bengkoelen Justice: Jurnal Ilmu Hukum</w:t>
      </w:r>
      <w:r w:rsidRPr="00E63E62">
        <w:rPr>
          <w:rFonts w:ascii="Times New Roman" w:hAnsi="Times New Roman" w:cs="Times New Roman"/>
          <w:sz w:val="20"/>
          <w:szCs w:val="18"/>
        </w:rPr>
        <w:t>, 13(2), 172-181.</w:t>
      </w:r>
      <w:r>
        <w:rPr>
          <w:rFonts w:ascii="Times New Roman" w:hAnsi="Times New Roman" w:cs="Times New Roman"/>
          <w:sz w:val="20"/>
          <w:szCs w:val="18"/>
        </w:rPr>
        <w:t xml:space="preserve"> </w:t>
      </w:r>
      <w:hyperlink r:id="rId95" w:history="1">
        <w:r w:rsidRPr="00755860">
          <w:rPr>
            <w:rStyle w:val="Hyperlink"/>
            <w:rFonts w:ascii="Times New Roman" w:hAnsi="Times New Roman" w:cs="Times New Roman"/>
            <w:sz w:val="20"/>
            <w:szCs w:val="18"/>
          </w:rPr>
          <w:t>https://doi.org/10.33369/jbengkoelenjust.v13i2.30001</w:t>
        </w:r>
      </w:hyperlink>
      <w:r>
        <w:rPr>
          <w:rFonts w:ascii="Times New Roman" w:hAnsi="Times New Roman" w:cs="Times New Roman"/>
          <w:sz w:val="20"/>
          <w:szCs w:val="18"/>
        </w:rPr>
        <w:t xml:space="preserve"> </w:t>
      </w:r>
    </w:p>
    <w:p w14:paraId="2EDCD87E" w14:textId="77777777" w:rsidR="00640082" w:rsidRDefault="00640082" w:rsidP="003C626F">
      <w:pPr>
        <w:spacing w:after="0" w:line="240" w:lineRule="auto"/>
        <w:ind w:left="993" w:hanging="709"/>
        <w:rPr>
          <w:rFonts w:ascii="Times New Roman" w:hAnsi="Times New Roman" w:cs="Times New Roman"/>
          <w:sz w:val="20"/>
          <w:szCs w:val="20"/>
        </w:rPr>
      </w:pPr>
      <w:r w:rsidRPr="00660DE1">
        <w:rPr>
          <w:rFonts w:ascii="Times New Roman" w:hAnsi="Times New Roman" w:cs="Times New Roman"/>
          <w:sz w:val="20"/>
          <w:szCs w:val="20"/>
        </w:rPr>
        <w:t xml:space="preserve">Helmiatin, Hidayat, A., &amp; Kahar, M. R. (2024). Investigating the adoption of AI in higher education: a study of public universities in Indonesia. </w:t>
      </w:r>
      <w:r w:rsidRPr="00CB37CE">
        <w:rPr>
          <w:rFonts w:ascii="Times New Roman" w:hAnsi="Times New Roman" w:cs="Times New Roman"/>
          <w:i/>
          <w:sz w:val="20"/>
          <w:szCs w:val="20"/>
        </w:rPr>
        <w:t>Cogent Education</w:t>
      </w:r>
      <w:r w:rsidRPr="00660DE1">
        <w:rPr>
          <w:rFonts w:ascii="Times New Roman" w:hAnsi="Times New Roman" w:cs="Times New Roman"/>
          <w:sz w:val="20"/>
          <w:szCs w:val="20"/>
        </w:rPr>
        <w:t xml:space="preserve">, 11(1). </w:t>
      </w:r>
      <w:hyperlink r:id="rId96" w:history="1">
        <w:r w:rsidRPr="00976C2F">
          <w:rPr>
            <w:rStyle w:val="Hyperlink"/>
            <w:rFonts w:ascii="Times New Roman" w:hAnsi="Times New Roman" w:cs="Times New Roman"/>
            <w:sz w:val="20"/>
            <w:szCs w:val="20"/>
          </w:rPr>
          <w:t>https://doi.org/10.1080/2331186X.2024.2380175</w:t>
        </w:r>
      </w:hyperlink>
    </w:p>
    <w:p w14:paraId="696A37BC" w14:textId="77777777" w:rsidR="00640082" w:rsidRPr="00E63E62" w:rsidRDefault="00640082" w:rsidP="003C626F">
      <w:pPr>
        <w:spacing w:after="0" w:line="240" w:lineRule="auto"/>
        <w:ind w:left="993" w:hanging="709"/>
        <w:rPr>
          <w:rFonts w:ascii="Times New Roman" w:hAnsi="Times New Roman" w:cs="Times New Roman"/>
          <w:sz w:val="20"/>
          <w:szCs w:val="20"/>
        </w:rPr>
      </w:pPr>
      <w:r w:rsidRPr="00DE43BC">
        <w:rPr>
          <w:rFonts w:ascii="Times New Roman" w:hAnsi="Times New Roman" w:cs="Times New Roman"/>
          <w:sz w:val="20"/>
          <w:szCs w:val="20"/>
        </w:rPr>
        <w:t xml:space="preserve">Kim, P. (2021). AI and Inequality. Forthcoming in The Cambridge Handbook on Artificial Intelligence &amp; the Law, Kristin Johnson &amp; Carla Reyes, eds.(2022), </w:t>
      </w:r>
      <w:r w:rsidRPr="00CB37CE">
        <w:rPr>
          <w:rFonts w:ascii="Times New Roman" w:hAnsi="Times New Roman" w:cs="Times New Roman"/>
          <w:i/>
          <w:sz w:val="20"/>
          <w:szCs w:val="20"/>
        </w:rPr>
        <w:t>Washington University in St. Louis Legal Studies Research Paper</w:t>
      </w:r>
      <w:r w:rsidRPr="00DE43BC">
        <w:rPr>
          <w:rFonts w:ascii="Times New Roman" w:hAnsi="Times New Roman" w:cs="Times New Roman"/>
          <w:sz w:val="20"/>
          <w:szCs w:val="20"/>
        </w:rPr>
        <w:t>, (21-09), 03.</w:t>
      </w:r>
      <w:r>
        <w:rPr>
          <w:rFonts w:ascii="Times New Roman" w:hAnsi="Times New Roman" w:cs="Times New Roman"/>
          <w:sz w:val="20"/>
          <w:szCs w:val="20"/>
        </w:rPr>
        <w:t xml:space="preserve"> </w:t>
      </w:r>
      <w:hyperlink r:id="rId97" w:tgtFrame="_blank" w:history="1">
        <w:r w:rsidRPr="00FD00E8">
          <w:rPr>
            <w:rStyle w:val="Hyperlink"/>
            <w:rFonts w:ascii="Times New Roman" w:hAnsi="Times New Roman" w:cs="Times New Roman"/>
            <w:sz w:val="20"/>
            <w:szCs w:val="20"/>
          </w:rPr>
          <w:t>https://ssrn.com/abstract=3938578</w:t>
        </w:r>
      </w:hyperlink>
    </w:p>
    <w:p w14:paraId="2AE90419" w14:textId="77777777" w:rsidR="00640082" w:rsidRDefault="00640082" w:rsidP="003C626F">
      <w:pPr>
        <w:spacing w:after="0" w:line="240" w:lineRule="auto"/>
        <w:ind w:left="993" w:hanging="709"/>
        <w:rPr>
          <w:rFonts w:ascii="Times New Roman" w:hAnsi="Times New Roman" w:cs="Times New Roman"/>
          <w:sz w:val="20"/>
          <w:szCs w:val="20"/>
        </w:rPr>
      </w:pPr>
      <w:r w:rsidRPr="00692615">
        <w:rPr>
          <w:rFonts w:ascii="Times New Roman" w:hAnsi="Times New Roman" w:cs="Times New Roman"/>
          <w:sz w:val="20"/>
          <w:szCs w:val="20"/>
        </w:rPr>
        <w:t>Long, D., &amp; Magerko, B. (2020, April). What is AI literacy? Competencies and design considerations. In </w:t>
      </w:r>
      <w:r w:rsidRPr="00692615">
        <w:rPr>
          <w:rFonts w:ascii="Times New Roman" w:hAnsi="Times New Roman" w:cs="Times New Roman"/>
          <w:i/>
          <w:iCs/>
          <w:sz w:val="20"/>
          <w:szCs w:val="20"/>
        </w:rPr>
        <w:t>Proceedings of the 2020 CHI conference on human factors in computing systems</w:t>
      </w:r>
      <w:r w:rsidRPr="00692615">
        <w:rPr>
          <w:rFonts w:ascii="Times New Roman" w:hAnsi="Times New Roman" w:cs="Times New Roman"/>
          <w:sz w:val="20"/>
          <w:szCs w:val="20"/>
        </w:rPr>
        <w:t> (pp. 1-16).</w:t>
      </w:r>
      <w:r>
        <w:rPr>
          <w:rFonts w:ascii="Times New Roman" w:hAnsi="Times New Roman" w:cs="Times New Roman"/>
          <w:sz w:val="20"/>
          <w:szCs w:val="20"/>
        </w:rPr>
        <w:t xml:space="preserve"> </w:t>
      </w:r>
      <w:hyperlink r:id="rId98" w:history="1">
        <w:r w:rsidRPr="00FD00E8">
          <w:rPr>
            <w:rStyle w:val="Hyperlink"/>
            <w:rFonts w:ascii="Times New Roman" w:hAnsi="Times New Roman" w:cs="Times New Roman"/>
            <w:sz w:val="20"/>
            <w:szCs w:val="20"/>
          </w:rPr>
          <w:t>https://doi.org/10.1145/3313831.3376727</w:t>
        </w:r>
      </w:hyperlink>
    </w:p>
    <w:p w14:paraId="484EF851" w14:textId="77777777" w:rsidR="00640082" w:rsidRDefault="00640082" w:rsidP="003C626F">
      <w:pPr>
        <w:spacing w:after="0" w:line="240" w:lineRule="auto"/>
        <w:ind w:left="993" w:hanging="709"/>
        <w:rPr>
          <w:rFonts w:ascii="Times New Roman" w:hAnsi="Times New Roman" w:cs="Times New Roman"/>
          <w:bCs/>
          <w:sz w:val="20"/>
          <w:szCs w:val="20"/>
        </w:rPr>
      </w:pPr>
      <w:r w:rsidRPr="0071660E">
        <w:rPr>
          <w:rFonts w:ascii="Times New Roman" w:hAnsi="Times New Roman" w:cs="Times New Roman"/>
          <w:bCs/>
          <w:sz w:val="20"/>
          <w:szCs w:val="20"/>
        </w:rPr>
        <w:t xml:space="preserve">Mairisiska, T., &amp; Qadariah, N. (2023). Persepsi mahasiswa ftik iain kerinci terhadap penggunaan chatgpt untuk mendukung pembelajaran di era digital. </w:t>
      </w:r>
      <w:r w:rsidRPr="0071660E">
        <w:rPr>
          <w:rFonts w:ascii="Times New Roman" w:hAnsi="Times New Roman" w:cs="Times New Roman"/>
          <w:bCs/>
          <w:i/>
          <w:sz w:val="20"/>
          <w:szCs w:val="20"/>
        </w:rPr>
        <w:t>Jurnal Teknologi Pembelajaran Indonesia</w:t>
      </w:r>
      <w:r w:rsidRPr="0071660E">
        <w:rPr>
          <w:rFonts w:ascii="Times New Roman" w:hAnsi="Times New Roman" w:cs="Times New Roman"/>
          <w:bCs/>
          <w:sz w:val="20"/>
          <w:szCs w:val="20"/>
        </w:rPr>
        <w:t xml:space="preserve">, 13(2), 107-124. </w:t>
      </w:r>
      <w:hyperlink r:id="rId99" w:history="1">
        <w:r w:rsidRPr="0071660E">
          <w:rPr>
            <w:rStyle w:val="Hyperlink"/>
            <w:rFonts w:ascii="Times New Roman" w:hAnsi="Times New Roman" w:cs="Times New Roman"/>
            <w:bCs/>
            <w:sz w:val="20"/>
            <w:szCs w:val="20"/>
          </w:rPr>
          <w:t>https://doi.org/10.23887/jurnal_tp.v13i2.2653</w:t>
        </w:r>
      </w:hyperlink>
    </w:p>
    <w:p w14:paraId="18990EF9" w14:textId="77777777" w:rsidR="00640082" w:rsidRPr="00B51C87" w:rsidRDefault="00640082" w:rsidP="003C626F">
      <w:pPr>
        <w:spacing w:after="0" w:line="240" w:lineRule="auto"/>
        <w:ind w:left="993" w:hanging="709"/>
        <w:rPr>
          <w:rFonts w:ascii="Times New Roman" w:hAnsi="Times New Roman" w:cs="Times New Roman"/>
          <w:sz w:val="20"/>
          <w:szCs w:val="20"/>
        </w:rPr>
      </w:pPr>
      <w:r w:rsidRPr="00396301">
        <w:rPr>
          <w:rFonts w:ascii="Times New Roman" w:hAnsi="Times New Roman" w:cs="Times New Roman"/>
          <w:sz w:val="20"/>
          <w:szCs w:val="20"/>
        </w:rPr>
        <w:t xml:space="preserve">Miao, F., Holmes, W., Huang, R., &amp; Zhang, H. (2021). AI and education: A guidance for policymakers. </w:t>
      </w:r>
      <w:r w:rsidRPr="00CB37CE">
        <w:rPr>
          <w:rFonts w:ascii="Times New Roman" w:hAnsi="Times New Roman" w:cs="Times New Roman"/>
          <w:i/>
          <w:sz w:val="20"/>
          <w:szCs w:val="20"/>
        </w:rPr>
        <w:t>Unesco Publishing</w:t>
      </w:r>
      <w:r w:rsidRPr="00396301">
        <w:rPr>
          <w:rFonts w:ascii="Times New Roman" w:hAnsi="Times New Roman" w:cs="Times New Roman"/>
          <w:sz w:val="20"/>
          <w:szCs w:val="20"/>
        </w:rPr>
        <w:t>.</w:t>
      </w:r>
      <w:r>
        <w:rPr>
          <w:rFonts w:ascii="Times New Roman" w:hAnsi="Times New Roman" w:cs="Times New Roman"/>
          <w:sz w:val="20"/>
          <w:szCs w:val="20"/>
        </w:rPr>
        <w:t xml:space="preserve"> </w:t>
      </w:r>
      <w:hyperlink r:id="rId100" w:history="1">
        <w:r w:rsidRPr="00755860">
          <w:rPr>
            <w:rStyle w:val="Hyperlink"/>
            <w:rFonts w:ascii="Times New Roman" w:hAnsi="Times New Roman" w:cs="Times New Roman"/>
            <w:sz w:val="20"/>
            <w:szCs w:val="20"/>
          </w:rPr>
          <w:t>https://doi.org/10.54675/PCSP7350</w:t>
        </w:r>
      </w:hyperlink>
      <w:r>
        <w:rPr>
          <w:rFonts w:ascii="Times New Roman" w:hAnsi="Times New Roman" w:cs="Times New Roman"/>
          <w:sz w:val="20"/>
          <w:szCs w:val="20"/>
        </w:rPr>
        <w:t xml:space="preserve"> </w:t>
      </w:r>
    </w:p>
    <w:p w14:paraId="42E02E3D" w14:textId="77777777" w:rsidR="00640082" w:rsidRDefault="00640082" w:rsidP="003C626F">
      <w:pPr>
        <w:spacing w:after="0" w:line="240" w:lineRule="auto"/>
        <w:ind w:left="993" w:hanging="709"/>
        <w:rPr>
          <w:rStyle w:val="Hyperlink"/>
          <w:rFonts w:ascii="Times New Roman" w:hAnsi="Times New Roman" w:cs="Times New Roman"/>
          <w:sz w:val="20"/>
          <w:szCs w:val="20"/>
        </w:rPr>
      </w:pPr>
      <w:r w:rsidRPr="00AD2C5E">
        <w:rPr>
          <w:rFonts w:ascii="Times New Roman" w:hAnsi="Times New Roman" w:cs="Times New Roman"/>
          <w:sz w:val="20"/>
          <w:szCs w:val="20"/>
        </w:rPr>
        <w:t>Poquet, O., &amp; De Laat, M. (2021). Developing capabilities: Lifelong learning in the age of AI. British Journal of Educational Technology, 52(4), 1695-1708.</w:t>
      </w:r>
      <w:r>
        <w:rPr>
          <w:rFonts w:ascii="Times New Roman" w:hAnsi="Times New Roman" w:cs="Times New Roman"/>
          <w:sz w:val="20"/>
          <w:szCs w:val="20"/>
        </w:rPr>
        <w:t xml:space="preserve"> </w:t>
      </w:r>
      <w:r w:rsidRPr="00FD00E8">
        <w:rPr>
          <w:rFonts w:ascii="Times New Roman" w:hAnsi="Times New Roman" w:cs="Times New Roman"/>
          <w:sz w:val="20"/>
          <w:szCs w:val="20"/>
        </w:rPr>
        <w:t>DOI: </w:t>
      </w:r>
      <w:hyperlink r:id="rId101" w:tgtFrame="_blank" w:history="1">
        <w:r w:rsidRPr="00FD00E8">
          <w:rPr>
            <w:rStyle w:val="Hyperlink"/>
            <w:rFonts w:ascii="Times New Roman" w:hAnsi="Times New Roman" w:cs="Times New Roman"/>
            <w:sz w:val="20"/>
            <w:szCs w:val="20"/>
          </w:rPr>
          <w:t>10.1111/bjet.13123</w:t>
        </w:r>
      </w:hyperlink>
    </w:p>
    <w:p w14:paraId="2D5AB473" w14:textId="77777777" w:rsidR="00640082" w:rsidRPr="00642501" w:rsidRDefault="00640082" w:rsidP="003C626F">
      <w:pPr>
        <w:spacing w:after="0" w:line="240" w:lineRule="auto"/>
        <w:ind w:left="993" w:hanging="709"/>
        <w:rPr>
          <w:rFonts w:ascii="Times New Roman" w:hAnsi="Times New Roman" w:cs="Times New Roman"/>
          <w:sz w:val="20"/>
          <w:szCs w:val="20"/>
          <w:u w:val="single"/>
        </w:rPr>
      </w:pPr>
      <w:r>
        <w:rPr>
          <w:rFonts w:ascii="Times New Roman" w:hAnsi="Times New Roman" w:cs="Times New Roman"/>
          <w:sz w:val="20"/>
          <w:szCs w:val="20"/>
        </w:rPr>
        <w:t>Ramli, A</w:t>
      </w:r>
      <w:r w:rsidRPr="00E239E6">
        <w:rPr>
          <w:rFonts w:ascii="Times New Roman" w:hAnsi="Times New Roman" w:cs="Times New Roman"/>
          <w:sz w:val="20"/>
          <w:szCs w:val="20"/>
        </w:rPr>
        <w:t>.</w:t>
      </w:r>
      <w:r>
        <w:rPr>
          <w:rFonts w:ascii="Times New Roman" w:hAnsi="Times New Roman" w:cs="Times New Roman"/>
          <w:sz w:val="20"/>
          <w:szCs w:val="20"/>
        </w:rPr>
        <w:t xml:space="preserve"> M.</w:t>
      </w:r>
      <w:r w:rsidRPr="00E239E6">
        <w:rPr>
          <w:rFonts w:ascii="Times New Roman" w:hAnsi="Times New Roman" w:cs="Times New Roman"/>
          <w:sz w:val="20"/>
          <w:szCs w:val="20"/>
        </w:rPr>
        <w:t xml:space="preserve"> (2024, October 18). Regulasi dan Etika Penggunaan AI pada Pendidikan Tinggi (Bagian I) Halaman 2 - Kompas.com. </w:t>
      </w:r>
      <w:r w:rsidRPr="00642501">
        <w:rPr>
          <w:rFonts w:ascii="Times New Roman" w:hAnsi="Times New Roman" w:cs="Times New Roman"/>
          <w:sz w:val="20"/>
          <w:szCs w:val="20"/>
          <w:u w:val="single"/>
        </w:rPr>
        <w:t xml:space="preserve">KOMPAS.com. </w:t>
      </w:r>
      <w:hyperlink r:id="rId102" w:history="1">
        <w:r w:rsidRPr="00755860">
          <w:rPr>
            <w:rStyle w:val="Hyperlink"/>
            <w:rFonts w:ascii="Times New Roman" w:hAnsi="Times New Roman" w:cs="Times New Roman"/>
            <w:sz w:val="20"/>
            <w:szCs w:val="20"/>
          </w:rPr>
          <w:t>https://www.kompas.com/edu/read/2024/10/18/140525871/regulasi-dan-etika-penggunaan-ai-pada-pendidikan-tinggi-bagian-i?page=2</w:t>
        </w:r>
      </w:hyperlink>
      <w:r>
        <w:rPr>
          <w:rFonts w:ascii="Times New Roman" w:hAnsi="Times New Roman" w:cs="Times New Roman"/>
          <w:sz w:val="20"/>
          <w:szCs w:val="20"/>
          <w:u w:val="single"/>
        </w:rPr>
        <w:t xml:space="preserve"> </w:t>
      </w:r>
    </w:p>
    <w:p w14:paraId="0BC974E6" w14:textId="77777777" w:rsidR="00640082" w:rsidRPr="00642501" w:rsidRDefault="00640082" w:rsidP="003C626F">
      <w:pPr>
        <w:spacing w:after="0" w:line="240" w:lineRule="auto"/>
        <w:ind w:left="993" w:hanging="709"/>
        <w:rPr>
          <w:rFonts w:ascii="Times New Roman" w:hAnsi="Times New Roman" w:cs="Times New Roman"/>
          <w:sz w:val="20"/>
          <w:szCs w:val="20"/>
        </w:rPr>
      </w:pPr>
      <w:r w:rsidRPr="00642501">
        <w:rPr>
          <w:rFonts w:ascii="Times New Roman" w:hAnsi="Times New Roman" w:cs="Times New Roman"/>
          <w:sz w:val="20"/>
          <w:szCs w:val="20"/>
        </w:rPr>
        <w:t xml:space="preserve">Snyder, H. (2019). Literature review as a research methodology: An overview and guidelines. </w:t>
      </w:r>
      <w:r w:rsidRPr="00CB37CE">
        <w:rPr>
          <w:rFonts w:ascii="Times New Roman" w:hAnsi="Times New Roman" w:cs="Times New Roman"/>
          <w:i/>
          <w:sz w:val="20"/>
          <w:szCs w:val="20"/>
        </w:rPr>
        <w:t>Journal of business research</w:t>
      </w:r>
      <w:r w:rsidRPr="00642501">
        <w:rPr>
          <w:rFonts w:ascii="Times New Roman" w:hAnsi="Times New Roman" w:cs="Times New Roman"/>
          <w:sz w:val="20"/>
          <w:szCs w:val="20"/>
        </w:rPr>
        <w:t>, 104, 333-339.</w:t>
      </w:r>
      <w:r>
        <w:rPr>
          <w:rFonts w:ascii="Times New Roman" w:hAnsi="Times New Roman" w:cs="Times New Roman"/>
          <w:sz w:val="20"/>
          <w:szCs w:val="20"/>
        </w:rPr>
        <w:t xml:space="preserve"> </w:t>
      </w:r>
      <w:hyperlink r:id="rId103" w:history="1">
        <w:r w:rsidRPr="00642501">
          <w:rPr>
            <w:rFonts w:ascii="Times New Roman" w:hAnsi="Times New Roman" w:cs="Times New Roman"/>
            <w:sz w:val="20"/>
            <w:szCs w:val="24"/>
            <w:u w:val="single"/>
          </w:rPr>
          <w:t>https://doi.org/10.1016/j.jbusres.2019.07.039</w:t>
        </w:r>
      </w:hyperlink>
      <w:r>
        <w:rPr>
          <w:rFonts w:ascii="Times New Roman" w:hAnsi="Times New Roman" w:cs="Times New Roman"/>
          <w:sz w:val="20"/>
          <w:szCs w:val="24"/>
          <w:u w:val="single"/>
        </w:rPr>
        <w:t xml:space="preserve">   </w:t>
      </w:r>
      <w:r>
        <w:rPr>
          <w:rFonts w:ascii="Times New Roman" w:hAnsi="Times New Roman" w:cs="Times New Roman"/>
          <w:sz w:val="20"/>
          <w:szCs w:val="24"/>
        </w:rPr>
        <w:t xml:space="preserve"> </w:t>
      </w:r>
      <w:r>
        <w:rPr>
          <w:rFonts w:ascii="Times New Roman" w:hAnsi="Times New Roman" w:cs="Times New Roman"/>
          <w:sz w:val="20"/>
          <w:szCs w:val="24"/>
          <w:u w:val="single"/>
        </w:rPr>
        <w:t xml:space="preserve">  </w:t>
      </w:r>
      <w:r w:rsidRPr="00642501">
        <w:rPr>
          <w:sz w:val="18"/>
        </w:rPr>
        <w:t xml:space="preserve"> </w:t>
      </w:r>
    </w:p>
    <w:p w14:paraId="4A965C38" w14:textId="77777777" w:rsidR="00640082" w:rsidRDefault="00640082" w:rsidP="003C626F">
      <w:pPr>
        <w:spacing w:after="0" w:line="240" w:lineRule="auto"/>
        <w:ind w:left="993" w:hanging="709"/>
        <w:rPr>
          <w:rFonts w:ascii="Times New Roman" w:hAnsi="Times New Roman" w:cs="Times New Roman"/>
          <w:bCs/>
          <w:sz w:val="20"/>
          <w:szCs w:val="20"/>
        </w:rPr>
      </w:pPr>
      <w:r w:rsidRPr="0071660E">
        <w:rPr>
          <w:rFonts w:ascii="Times New Roman" w:hAnsi="Times New Roman" w:cs="Times New Roman"/>
          <w:bCs/>
          <w:sz w:val="20"/>
          <w:szCs w:val="20"/>
        </w:rPr>
        <w:t xml:space="preserve">Stryker, C., &amp; Scappichio, M. (2024, March 22). </w:t>
      </w:r>
      <w:r w:rsidRPr="0071660E">
        <w:rPr>
          <w:rFonts w:ascii="Times New Roman" w:hAnsi="Times New Roman" w:cs="Times New Roman"/>
          <w:bCs/>
          <w:i/>
          <w:sz w:val="20"/>
          <w:szCs w:val="20"/>
        </w:rPr>
        <w:t>What is generative AI?</w:t>
      </w:r>
      <w:r w:rsidRPr="0071660E">
        <w:rPr>
          <w:rFonts w:ascii="Times New Roman" w:hAnsi="Times New Roman" w:cs="Times New Roman"/>
          <w:bCs/>
          <w:sz w:val="20"/>
          <w:szCs w:val="20"/>
        </w:rPr>
        <w:t xml:space="preserve">. IBM. </w:t>
      </w:r>
      <w:hyperlink r:id="rId104" w:history="1">
        <w:r w:rsidRPr="0071660E">
          <w:rPr>
            <w:rStyle w:val="Hyperlink"/>
            <w:rFonts w:ascii="Times New Roman" w:hAnsi="Times New Roman" w:cs="Times New Roman"/>
            <w:bCs/>
            <w:sz w:val="20"/>
            <w:szCs w:val="20"/>
          </w:rPr>
          <w:t>https://www.ibm.com/topics/generative-ai</w:t>
        </w:r>
      </w:hyperlink>
    </w:p>
    <w:p w14:paraId="055CA0D2" w14:textId="77777777" w:rsidR="00640082" w:rsidRPr="00B51C87" w:rsidRDefault="00640082" w:rsidP="003C626F">
      <w:pPr>
        <w:spacing w:after="0" w:line="240" w:lineRule="auto"/>
        <w:ind w:left="993" w:hanging="709"/>
        <w:rPr>
          <w:rFonts w:ascii="Times New Roman" w:hAnsi="Times New Roman" w:cs="Times New Roman"/>
          <w:sz w:val="20"/>
          <w:szCs w:val="20"/>
        </w:rPr>
      </w:pPr>
      <w:r w:rsidRPr="00396301">
        <w:rPr>
          <w:rFonts w:ascii="Times New Roman" w:hAnsi="Times New Roman" w:cs="Times New Roman"/>
          <w:sz w:val="20"/>
          <w:szCs w:val="20"/>
        </w:rPr>
        <w:t xml:space="preserve">Oravec, J. A. (2023). Artificial intelligence implications for academic cheating: Expanding the dimensions of responsible human-AI collaboration with ChatGPT. </w:t>
      </w:r>
      <w:r w:rsidRPr="00396301">
        <w:rPr>
          <w:rFonts w:ascii="Times New Roman" w:hAnsi="Times New Roman" w:cs="Times New Roman"/>
          <w:i/>
          <w:sz w:val="20"/>
          <w:szCs w:val="20"/>
        </w:rPr>
        <w:t>Journal of Interactive Learning Research</w:t>
      </w:r>
      <w:r w:rsidRPr="00396301">
        <w:rPr>
          <w:rFonts w:ascii="Times New Roman" w:hAnsi="Times New Roman" w:cs="Times New Roman"/>
          <w:sz w:val="20"/>
          <w:szCs w:val="20"/>
        </w:rPr>
        <w:t xml:space="preserve">, 34(2), 213-237. </w:t>
      </w:r>
      <w:hyperlink r:id="rId105" w:history="1">
        <w:r w:rsidRPr="00396301">
          <w:rPr>
            <w:rStyle w:val="Hyperlink"/>
            <w:rFonts w:ascii="Times New Roman" w:hAnsi="Times New Roman" w:cs="Times New Roman"/>
            <w:sz w:val="20"/>
            <w:szCs w:val="20"/>
          </w:rPr>
          <w:t>https://www.learntechlib.org/primary/p/222340/</w:t>
        </w:r>
      </w:hyperlink>
      <w:r w:rsidRPr="00396301">
        <w:rPr>
          <w:rFonts w:ascii="Times New Roman" w:hAnsi="Times New Roman" w:cs="Times New Roman"/>
          <w:sz w:val="20"/>
          <w:szCs w:val="20"/>
        </w:rPr>
        <w:t>.</w:t>
      </w:r>
    </w:p>
    <w:p w14:paraId="4D924EE9" w14:textId="77777777" w:rsidR="00640082" w:rsidRDefault="00640082" w:rsidP="003C626F">
      <w:pPr>
        <w:spacing w:after="0" w:line="240" w:lineRule="auto"/>
        <w:ind w:left="993" w:hanging="709"/>
        <w:rPr>
          <w:rFonts w:ascii="Times New Roman" w:hAnsi="Times New Roman" w:cs="Times New Roman"/>
          <w:bCs/>
          <w:sz w:val="20"/>
          <w:szCs w:val="20"/>
        </w:rPr>
      </w:pPr>
      <w:r>
        <w:rPr>
          <w:rFonts w:ascii="Times New Roman" w:hAnsi="Times New Roman" w:cs="Times New Roman"/>
          <w:sz w:val="20"/>
          <w:szCs w:val="20"/>
        </w:rPr>
        <w:t xml:space="preserve">UNSDG. (2017). </w:t>
      </w:r>
      <w:r w:rsidRPr="00164FFD">
        <w:rPr>
          <w:rFonts w:ascii="Times New Roman" w:hAnsi="Times New Roman" w:cs="Times New Roman"/>
          <w:bCs/>
          <w:sz w:val="20"/>
          <w:szCs w:val="20"/>
        </w:rPr>
        <w:t>Capacity Development UNDAF Companion Guidance</w:t>
      </w:r>
      <w:r>
        <w:rPr>
          <w:rFonts w:ascii="Times New Roman" w:hAnsi="Times New Roman" w:cs="Times New Roman"/>
          <w:bCs/>
          <w:sz w:val="20"/>
          <w:szCs w:val="20"/>
        </w:rPr>
        <w:t xml:space="preserve">. </w:t>
      </w:r>
      <w:hyperlink r:id="rId106" w:history="1">
        <w:r w:rsidRPr="00976C2F">
          <w:rPr>
            <w:rStyle w:val="Hyperlink"/>
            <w:rFonts w:ascii="Times New Roman" w:hAnsi="Times New Roman" w:cs="Times New Roman"/>
            <w:bCs/>
            <w:sz w:val="20"/>
            <w:szCs w:val="20"/>
          </w:rPr>
          <w:t>https://unsdg.un.org/resources/capacity-development-undaf-companion-guidance</w:t>
        </w:r>
      </w:hyperlink>
    </w:p>
    <w:p w14:paraId="00EA2A73" w14:textId="77777777" w:rsidR="00640082" w:rsidRPr="00BB5D81" w:rsidRDefault="00640082" w:rsidP="00E63E62">
      <w:pPr>
        <w:spacing w:after="0" w:line="240" w:lineRule="auto"/>
        <w:ind w:left="709" w:hanging="709"/>
        <w:rPr>
          <w:rFonts w:ascii="Times New Roman" w:hAnsi="Times New Roman" w:cs="Times New Roman"/>
          <w:sz w:val="20"/>
          <w:szCs w:val="20"/>
        </w:rPr>
      </w:pPr>
    </w:p>
    <w:p w14:paraId="326B1D2C" w14:textId="77777777" w:rsidR="00640082" w:rsidRPr="00E63E62" w:rsidRDefault="00640082" w:rsidP="00E63E62">
      <w:pPr>
        <w:spacing w:after="0" w:line="240" w:lineRule="auto"/>
        <w:ind w:left="709" w:hanging="709"/>
        <w:rPr>
          <w:rFonts w:ascii="Times New Roman" w:hAnsi="Times New Roman" w:cs="Times New Roman"/>
          <w:sz w:val="20"/>
          <w:szCs w:val="20"/>
          <w:u w:val="single"/>
        </w:rPr>
      </w:pPr>
    </w:p>
    <w:p w14:paraId="524AFEF2" w14:textId="77777777" w:rsidR="00640082" w:rsidRPr="00396301" w:rsidRDefault="00640082" w:rsidP="00396301">
      <w:pPr>
        <w:spacing w:after="0" w:line="240" w:lineRule="auto"/>
        <w:ind w:left="709" w:hanging="709"/>
        <w:rPr>
          <w:rFonts w:ascii="Times New Roman" w:hAnsi="Times New Roman" w:cs="Times New Roman"/>
          <w:sz w:val="20"/>
          <w:szCs w:val="20"/>
        </w:rPr>
      </w:pPr>
    </w:p>
    <w:p w14:paraId="222366B7" w14:textId="77777777" w:rsidR="00640082" w:rsidRPr="00396301" w:rsidRDefault="00640082" w:rsidP="00396301">
      <w:pPr>
        <w:spacing w:after="0" w:line="240" w:lineRule="auto"/>
        <w:ind w:left="709" w:hanging="709"/>
        <w:rPr>
          <w:rFonts w:ascii="Times New Roman" w:hAnsi="Times New Roman" w:cs="Times New Roman"/>
          <w:bCs/>
          <w:sz w:val="20"/>
          <w:szCs w:val="20"/>
        </w:rPr>
      </w:pPr>
    </w:p>
    <w:p w14:paraId="64498B53" w14:textId="74DAB227" w:rsidR="00640082" w:rsidRDefault="00640082" w:rsidP="00A714D2">
      <w:pPr>
        <w:ind w:left="0"/>
        <w:rPr>
          <w:rFonts w:ascii="Times New Roman" w:hAnsi="Times New Roman" w:cs="Times New Roman"/>
          <w:bCs/>
          <w:sz w:val="20"/>
          <w:szCs w:val="20"/>
          <w:u w:val="single"/>
        </w:rPr>
      </w:pPr>
    </w:p>
    <w:p w14:paraId="593D9B5B" w14:textId="77777777" w:rsidR="008D1BEF" w:rsidRDefault="008D1BEF" w:rsidP="00A714D2">
      <w:pPr>
        <w:ind w:left="0"/>
        <w:rPr>
          <w:rFonts w:ascii="Times New Roman" w:hAnsi="Times New Roman" w:cs="Times New Roman"/>
          <w:bCs/>
          <w:sz w:val="20"/>
          <w:szCs w:val="20"/>
          <w:u w:val="single"/>
        </w:rPr>
      </w:pPr>
    </w:p>
    <w:p w14:paraId="144EC4DE" w14:textId="77777777" w:rsidR="008D1BEF" w:rsidRDefault="008D1BEF" w:rsidP="00A714D2">
      <w:pPr>
        <w:ind w:left="0"/>
        <w:rPr>
          <w:rFonts w:ascii="Times New Roman" w:hAnsi="Times New Roman" w:cs="Times New Roman"/>
          <w:bCs/>
          <w:sz w:val="20"/>
          <w:szCs w:val="20"/>
          <w:u w:val="single"/>
        </w:rPr>
      </w:pPr>
    </w:p>
    <w:p w14:paraId="23400C5E" w14:textId="77777777" w:rsidR="008D1BEF" w:rsidRDefault="008D1BEF" w:rsidP="00A714D2">
      <w:pPr>
        <w:ind w:left="0"/>
        <w:rPr>
          <w:rFonts w:ascii="Times New Roman" w:hAnsi="Times New Roman" w:cs="Times New Roman"/>
          <w:bCs/>
          <w:sz w:val="20"/>
          <w:szCs w:val="20"/>
          <w:u w:val="single"/>
        </w:rPr>
      </w:pPr>
    </w:p>
    <w:p w14:paraId="59456C80" w14:textId="77777777" w:rsidR="008D1BEF" w:rsidRDefault="008D1BEF" w:rsidP="00A714D2">
      <w:pPr>
        <w:ind w:left="0"/>
        <w:rPr>
          <w:rFonts w:ascii="Times New Roman" w:hAnsi="Times New Roman" w:cs="Times New Roman"/>
          <w:bCs/>
          <w:sz w:val="20"/>
          <w:szCs w:val="20"/>
          <w:u w:val="single"/>
        </w:rPr>
      </w:pPr>
    </w:p>
    <w:p w14:paraId="25C57147" w14:textId="77777777" w:rsidR="008D1BEF" w:rsidRDefault="008D1BEF" w:rsidP="00A714D2">
      <w:pPr>
        <w:ind w:left="0"/>
        <w:rPr>
          <w:rFonts w:ascii="Times New Roman" w:hAnsi="Times New Roman" w:cs="Times New Roman"/>
          <w:bCs/>
          <w:sz w:val="20"/>
          <w:szCs w:val="20"/>
          <w:u w:val="single"/>
        </w:rPr>
      </w:pPr>
    </w:p>
    <w:p w14:paraId="25503858" w14:textId="77777777" w:rsidR="008D1BEF" w:rsidRDefault="008D1BEF" w:rsidP="00A714D2">
      <w:pPr>
        <w:ind w:left="0"/>
        <w:rPr>
          <w:rFonts w:ascii="Times New Roman" w:hAnsi="Times New Roman" w:cs="Times New Roman"/>
          <w:bCs/>
          <w:sz w:val="20"/>
          <w:szCs w:val="20"/>
          <w:u w:val="single"/>
        </w:rPr>
      </w:pPr>
    </w:p>
    <w:p w14:paraId="1A79BFD8" w14:textId="77777777" w:rsidR="008D1BEF" w:rsidRDefault="008D1BEF" w:rsidP="00A714D2">
      <w:pPr>
        <w:ind w:left="0"/>
        <w:rPr>
          <w:rFonts w:ascii="Times New Roman" w:hAnsi="Times New Roman" w:cs="Times New Roman"/>
          <w:bCs/>
          <w:sz w:val="20"/>
          <w:szCs w:val="20"/>
          <w:u w:val="single"/>
        </w:rPr>
      </w:pPr>
    </w:p>
    <w:p w14:paraId="5AA157B4" w14:textId="77777777" w:rsidR="008D1BEF" w:rsidRDefault="008D1BEF" w:rsidP="00A714D2">
      <w:pPr>
        <w:ind w:left="0"/>
        <w:rPr>
          <w:rFonts w:ascii="Times New Roman" w:hAnsi="Times New Roman" w:cs="Times New Roman"/>
          <w:bCs/>
          <w:sz w:val="20"/>
          <w:szCs w:val="20"/>
          <w:u w:val="single"/>
        </w:rPr>
      </w:pPr>
    </w:p>
    <w:p w14:paraId="0FE1A974" w14:textId="77777777" w:rsidR="008D1BEF" w:rsidRDefault="008D1BEF" w:rsidP="00A714D2">
      <w:pPr>
        <w:ind w:left="0"/>
        <w:rPr>
          <w:rFonts w:ascii="Times New Roman" w:hAnsi="Times New Roman" w:cs="Times New Roman"/>
          <w:bCs/>
          <w:sz w:val="20"/>
          <w:szCs w:val="20"/>
          <w:u w:val="single"/>
        </w:rPr>
      </w:pPr>
    </w:p>
    <w:p w14:paraId="18812A46" w14:textId="77777777" w:rsidR="008D1BEF" w:rsidRDefault="008D1BEF" w:rsidP="00A714D2">
      <w:pPr>
        <w:ind w:left="0"/>
        <w:rPr>
          <w:rFonts w:ascii="Times New Roman" w:hAnsi="Times New Roman" w:cs="Times New Roman"/>
          <w:bCs/>
          <w:sz w:val="20"/>
          <w:szCs w:val="20"/>
          <w:u w:val="single"/>
        </w:rPr>
      </w:pPr>
    </w:p>
    <w:p w14:paraId="57890D84" w14:textId="77777777" w:rsidR="008D1BEF" w:rsidRDefault="008D1BEF" w:rsidP="00A714D2">
      <w:pPr>
        <w:ind w:left="0"/>
        <w:rPr>
          <w:rFonts w:ascii="Times New Roman" w:hAnsi="Times New Roman" w:cs="Times New Roman"/>
          <w:bCs/>
          <w:sz w:val="20"/>
          <w:szCs w:val="20"/>
          <w:u w:val="single"/>
        </w:rPr>
      </w:pPr>
    </w:p>
    <w:p w14:paraId="6AA9E935" w14:textId="77777777" w:rsidR="008D1BEF" w:rsidRDefault="008D1BEF" w:rsidP="00A714D2">
      <w:pPr>
        <w:ind w:left="0"/>
        <w:rPr>
          <w:rFonts w:ascii="Times New Roman" w:hAnsi="Times New Roman" w:cs="Times New Roman"/>
          <w:bCs/>
          <w:sz w:val="20"/>
          <w:szCs w:val="20"/>
          <w:u w:val="single"/>
        </w:rPr>
      </w:pPr>
    </w:p>
    <w:p w14:paraId="13F5A34D" w14:textId="77777777" w:rsidR="008D1BEF" w:rsidRDefault="008D1BEF" w:rsidP="00A714D2">
      <w:pPr>
        <w:ind w:left="0"/>
        <w:rPr>
          <w:rFonts w:ascii="Times New Roman" w:hAnsi="Times New Roman" w:cs="Times New Roman"/>
          <w:bCs/>
          <w:sz w:val="20"/>
          <w:szCs w:val="20"/>
          <w:u w:val="single"/>
        </w:rPr>
      </w:pPr>
    </w:p>
    <w:p w14:paraId="2DE4F783" w14:textId="77777777" w:rsidR="0088357A" w:rsidRDefault="0088357A" w:rsidP="00A714D2">
      <w:pPr>
        <w:ind w:left="0"/>
        <w:rPr>
          <w:rFonts w:ascii="Times New Roman" w:hAnsi="Times New Roman" w:cs="Times New Roman"/>
          <w:bCs/>
          <w:sz w:val="20"/>
          <w:szCs w:val="20"/>
          <w:u w:val="single"/>
        </w:rPr>
      </w:pPr>
    </w:p>
    <w:p w14:paraId="20AF5547" w14:textId="77777777" w:rsidR="0088357A" w:rsidRDefault="0088357A" w:rsidP="00A714D2">
      <w:pPr>
        <w:ind w:left="0"/>
        <w:rPr>
          <w:rFonts w:ascii="Times New Roman" w:hAnsi="Times New Roman" w:cs="Times New Roman"/>
          <w:bCs/>
          <w:sz w:val="20"/>
          <w:szCs w:val="20"/>
          <w:u w:val="single"/>
        </w:rPr>
      </w:pPr>
    </w:p>
    <w:p w14:paraId="73395A74" w14:textId="77777777" w:rsidR="0088357A" w:rsidRDefault="0088357A" w:rsidP="00A714D2">
      <w:pPr>
        <w:ind w:left="0"/>
        <w:rPr>
          <w:rFonts w:ascii="Times New Roman" w:hAnsi="Times New Roman" w:cs="Times New Roman"/>
          <w:bCs/>
          <w:sz w:val="20"/>
          <w:szCs w:val="20"/>
          <w:u w:val="single"/>
        </w:rPr>
      </w:pPr>
    </w:p>
    <w:p w14:paraId="6E430494" w14:textId="77777777" w:rsidR="0088357A" w:rsidRDefault="0088357A" w:rsidP="00A714D2">
      <w:pPr>
        <w:ind w:left="0"/>
        <w:rPr>
          <w:rFonts w:ascii="Times New Roman" w:hAnsi="Times New Roman" w:cs="Times New Roman"/>
          <w:bCs/>
          <w:sz w:val="20"/>
          <w:szCs w:val="20"/>
          <w:u w:val="single"/>
        </w:rPr>
      </w:pPr>
    </w:p>
    <w:p w14:paraId="36061230" w14:textId="77777777" w:rsidR="0088357A" w:rsidRDefault="0088357A" w:rsidP="00A714D2">
      <w:pPr>
        <w:ind w:left="0"/>
        <w:rPr>
          <w:rFonts w:ascii="Times New Roman" w:hAnsi="Times New Roman" w:cs="Times New Roman"/>
          <w:bCs/>
          <w:sz w:val="20"/>
          <w:szCs w:val="20"/>
          <w:u w:val="single"/>
        </w:rPr>
      </w:pPr>
    </w:p>
    <w:p w14:paraId="405A2798" w14:textId="77777777" w:rsidR="0088357A" w:rsidRDefault="0088357A" w:rsidP="00A714D2">
      <w:pPr>
        <w:ind w:left="0"/>
        <w:rPr>
          <w:rFonts w:ascii="Times New Roman" w:hAnsi="Times New Roman" w:cs="Times New Roman"/>
          <w:bCs/>
          <w:sz w:val="20"/>
          <w:szCs w:val="20"/>
          <w:u w:val="single"/>
        </w:rPr>
      </w:pPr>
    </w:p>
    <w:p w14:paraId="6D60A54D" w14:textId="77777777" w:rsidR="0088357A" w:rsidRDefault="0088357A" w:rsidP="00A714D2">
      <w:pPr>
        <w:ind w:left="0"/>
        <w:rPr>
          <w:rFonts w:ascii="Times New Roman" w:hAnsi="Times New Roman" w:cs="Times New Roman"/>
          <w:bCs/>
          <w:sz w:val="20"/>
          <w:szCs w:val="20"/>
          <w:u w:val="single"/>
        </w:rPr>
      </w:pPr>
    </w:p>
    <w:p w14:paraId="6D9C5A20" w14:textId="77777777" w:rsidR="0088357A" w:rsidRDefault="0088357A" w:rsidP="00A714D2">
      <w:pPr>
        <w:ind w:left="0"/>
        <w:rPr>
          <w:rFonts w:ascii="Times New Roman" w:hAnsi="Times New Roman" w:cs="Times New Roman"/>
          <w:bCs/>
          <w:sz w:val="20"/>
          <w:szCs w:val="20"/>
          <w:u w:val="single"/>
        </w:rPr>
      </w:pPr>
    </w:p>
    <w:p w14:paraId="3428D752" w14:textId="77777777" w:rsidR="0088357A" w:rsidRDefault="0088357A" w:rsidP="00A714D2">
      <w:pPr>
        <w:ind w:left="0"/>
        <w:rPr>
          <w:rFonts w:ascii="Times New Roman" w:hAnsi="Times New Roman" w:cs="Times New Roman"/>
          <w:bCs/>
          <w:sz w:val="20"/>
          <w:szCs w:val="20"/>
          <w:u w:val="single"/>
        </w:rPr>
      </w:pPr>
    </w:p>
    <w:p w14:paraId="15E5B226" w14:textId="77777777" w:rsidR="0088357A" w:rsidRDefault="0088357A" w:rsidP="00A714D2">
      <w:pPr>
        <w:ind w:left="0"/>
        <w:rPr>
          <w:rFonts w:ascii="Times New Roman" w:hAnsi="Times New Roman" w:cs="Times New Roman"/>
          <w:bCs/>
          <w:sz w:val="20"/>
          <w:szCs w:val="20"/>
          <w:u w:val="single"/>
        </w:rPr>
      </w:pPr>
    </w:p>
    <w:p w14:paraId="2F7BA273" w14:textId="77777777" w:rsidR="008D1BEF" w:rsidRDefault="008D1BEF" w:rsidP="00A714D2">
      <w:pPr>
        <w:ind w:left="0"/>
        <w:rPr>
          <w:rFonts w:ascii="Times New Roman" w:hAnsi="Times New Roman" w:cs="Times New Roman"/>
          <w:bCs/>
          <w:sz w:val="20"/>
          <w:szCs w:val="20"/>
          <w:u w:val="single"/>
        </w:rPr>
      </w:pPr>
    </w:p>
    <w:p w14:paraId="5624B15E" w14:textId="77777777" w:rsidR="008D1BEF" w:rsidRDefault="008D1BEF" w:rsidP="00A714D2">
      <w:pPr>
        <w:ind w:left="0"/>
        <w:rPr>
          <w:rFonts w:ascii="Times New Roman" w:hAnsi="Times New Roman" w:cs="Times New Roman"/>
          <w:bCs/>
          <w:sz w:val="20"/>
          <w:szCs w:val="20"/>
          <w:u w:val="single"/>
        </w:rPr>
      </w:pPr>
    </w:p>
    <w:p w14:paraId="3BDA889E" w14:textId="77777777" w:rsidR="008D1BEF" w:rsidRDefault="008D1BEF" w:rsidP="00A714D2">
      <w:pPr>
        <w:ind w:left="0"/>
        <w:rPr>
          <w:rFonts w:ascii="Times New Roman" w:hAnsi="Times New Roman" w:cs="Times New Roman"/>
          <w:bCs/>
          <w:sz w:val="20"/>
          <w:szCs w:val="20"/>
          <w:u w:val="single"/>
        </w:rPr>
      </w:pPr>
    </w:p>
    <w:p w14:paraId="2F8192EC" w14:textId="77777777" w:rsidR="008D1BEF" w:rsidRDefault="008D1BEF" w:rsidP="00A714D2">
      <w:pPr>
        <w:ind w:left="0"/>
        <w:rPr>
          <w:rFonts w:ascii="Times New Roman" w:hAnsi="Times New Roman" w:cs="Times New Roman"/>
          <w:bCs/>
          <w:sz w:val="20"/>
          <w:szCs w:val="20"/>
          <w:u w:val="single"/>
        </w:rPr>
      </w:pPr>
    </w:p>
    <w:p w14:paraId="03B31FFB" w14:textId="77777777" w:rsidR="008D1BEF" w:rsidRDefault="008D1BEF" w:rsidP="00A714D2">
      <w:pPr>
        <w:ind w:left="0"/>
        <w:rPr>
          <w:rFonts w:ascii="Times New Roman" w:hAnsi="Times New Roman" w:cs="Times New Roman"/>
          <w:bCs/>
          <w:sz w:val="20"/>
          <w:szCs w:val="20"/>
          <w:u w:val="single"/>
        </w:rPr>
      </w:pPr>
    </w:p>
    <w:p w14:paraId="407016E3" w14:textId="019BDC5A" w:rsidR="008D1BEF" w:rsidRPr="008D1BEF" w:rsidRDefault="008D1BEF" w:rsidP="008D1BEF">
      <w:pPr>
        <w:ind w:left="0"/>
        <w:rPr>
          <w:rFonts w:ascii="Times New Roman" w:hAnsi="Times New Roman" w:cs="Times New Roman"/>
          <w:bCs/>
          <w:sz w:val="20"/>
          <w:szCs w:val="20"/>
          <w:u w:val="single"/>
          <w:lang w:val="en-US"/>
        </w:rPr>
      </w:pPr>
      <w:r w:rsidRPr="008D1BEF">
        <w:rPr>
          <w:rFonts w:ascii="Times New Roman" w:hAnsi="Times New Roman" w:cs="Times New Roman"/>
          <w:bCs/>
          <w:noProof/>
          <w:sz w:val="20"/>
          <w:szCs w:val="20"/>
          <w:u w:val="single"/>
          <w:lang w:val="en-US"/>
        </w:rPr>
        <w:drawing>
          <wp:anchor distT="0" distB="0" distL="114300" distR="114300" simplePos="0" relativeHeight="251669504" behindDoc="1" locked="0" layoutInCell="1" allowOverlap="1" wp14:anchorId="185999DB" wp14:editId="5715FD12">
            <wp:simplePos x="0" y="0"/>
            <wp:positionH relativeFrom="column">
              <wp:posOffset>-914400</wp:posOffset>
            </wp:positionH>
            <wp:positionV relativeFrom="paragraph">
              <wp:posOffset>-939214</wp:posOffset>
            </wp:positionV>
            <wp:extent cx="7589520" cy="10735984"/>
            <wp:effectExtent l="0" t="0" r="0" b="8255"/>
            <wp:wrapNone/>
            <wp:docPr id="21121507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602859" cy="107548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A2D9C7" w14:textId="77777777" w:rsidR="008D1BEF" w:rsidRPr="003C626F" w:rsidRDefault="008D1BEF" w:rsidP="00A714D2">
      <w:pPr>
        <w:ind w:left="0"/>
        <w:rPr>
          <w:rFonts w:ascii="Times New Roman" w:hAnsi="Times New Roman" w:cs="Times New Roman"/>
          <w:bCs/>
          <w:sz w:val="20"/>
          <w:szCs w:val="20"/>
          <w:u w:val="single"/>
        </w:rPr>
      </w:pPr>
    </w:p>
    <w:sectPr w:rsidR="008D1BEF" w:rsidRPr="003C626F" w:rsidSect="001E5818">
      <w:headerReference w:type="default" r:id="rId108"/>
      <w:pgSz w:w="11906" w:h="16838"/>
      <w:pgMar w:top="1440" w:right="1440" w:bottom="1440" w:left="1440" w:header="709" w:footer="709"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F39D" w14:textId="77777777" w:rsidR="003F779F" w:rsidRDefault="003F779F" w:rsidP="00606CDC">
      <w:pPr>
        <w:spacing w:after="0" w:line="240" w:lineRule="auto"/>
      </w:pPr>
      <w:r>
        <w:separator/>
      </w:r>
    </w:p>
  </w:endnote>
  <w:endnote w:type="continuationSeparator" w:id="0">
    <w:p w14:paraId="503377FD" w14:textId="77777777" w:rsidR="003F779F" w:rsidRDefault="003F779F" w:rsidP="0060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sto MT">
    <w:altName w:val="Calisto"/>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928607"/>
      <w:docPartObj>
        <w:docPartGallery w:val="Page Numbers (Bottom of Page)"/>
        <w:docPartUnique/>
      </w:docPartObj>
    </w:sdtPr>
    <w:sdtEndPr>
      <w:rPr>
        <w:noProof/>
      </w:rPr>
    </w:sdtEndPr>
    <w:sdtContent>
      <w:p w14:paraId="0B3927FD" w14:textId="7798E0E4" w:rsidR="004C6797" w:rsidRDefault="004C6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53382E" w14:textId="77777777" w:rsidR="00606CDC" w:rsidRDefault="00606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42B7" w14:textId="6435AEBB" w:rsidR="00D508DE" w:rsidRPr="005978A6" w:rsidRDefault="00D508DE">
    <w:pPr>
      <w:pStyle w:val="Footer"/>
      <w:rPr>
        <w:i/>
        <w:iCs/>
      </w:rPr>
    </w:pPr>
    <w:r>
      <w:rPr>
        <w:b/>
        <w:bCs/>
      </w:rPr>
      <w:t xml:space="preserve">Copyright </w:t>
    </w:r>
    <w:r w:rsidR="005978A6">
      <w:rPr>
        <w:b/>
        <w:bCs/>
      </w:rPr>
      <w:t>©</w:t>
    </w:r>
    <w:r w:rsidRPr="008E1409">
      <w:t>Faculty of Social and</w:t>
    </w:r>
    <w:r w:rsidR="005978A6" w:rsidRPr="008E1409">
      <w:t xml:space="preserve"> Political Science, Universitas Hasanuddin. All rights reserved</w:t>
    </w:r>
    <w:r w:rsidR="005978A6" w:rsidRPr="005978A6">
      <w:rPr>
        <w:i/>
        <w:iCs/>
      </w:rPr>
      <w:t>.</w:t>
    </w:r>
  </w:p>
  <w:p w14:paraId="45D7CB9F" w14:textId="7A7D1F96" w:rsidR="005978A6" w:rsidRPr="005978A6" w:rsidRDefault="005978A6">
    <w:pPr>
      <w:pStyle w:val="Footer"/>
      <w:rPr>
        <w:i/>
        <w:iCs/>
      </w:rPr>
    </w:pPr>
    <w:r w:rsidRPr="005978A6">
      <w:rPr>
        <w:i/>
        <w:iCs/>
      </w:rPr>
      <w:t>Reproduction of the contents of this book in any form is prohibited</w:t>
    </w:r>
  </w:p>
  <w:p w14:paraId="3EDB61E7" w14:textId="36E19FA9" w:rsidR="005978A6" w:rsidRPr="005978A6" w:rsidRDefault="005978A6">
    <w:pPr>
      <w:pStyle w:val="Footer"/>
      <w:rPr>
        <w:i/>
        <w:iCs/>
      </w:rPr>
    </w:pPr>
    <w:r w:rsidRPr="005978A6">
      <w:rPr>
        <w:i/>
        <w:iCs/>
      </w:rPr>
      <w:t xml:space="preserve">Without written permission from </w:t>
    </w:r>
    <w:proofErr w:type="spellStart"/>
    <w:r w:rsidRPr="005978A6">
      <w:rPr>
        <w:i/>
        <w:iCs/>
      </w:rPr>
      <w:t>outhor</w:t>
    </w:r>
    <w:proofErr w:type="spellEnd"/>
    <w:r w:rsidRPr="005978A6">
      <w:rPr>
        <w:i/>
        <w:iCs/>
      </w:rPr>
      <w:t xml:space="preserve"> or publisher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D8350" w14:textId="77777777" w:rsidR="003F779F" w:rsidRDefault="003F779F" w:rsidP="00606CDC">
      <w:pPr>
        <w:spacing w:after="0" w:line="240" w:lineRule="auto"/>
      </w:pPr>
      <w:r>
        <w:separator/>
      </w:r>
    </w:p>
  </w:footnote>
  <w:footnote w:type="continuationSeparator" w:id="0">
    <w:p w14:paraId="03B77786" w14:textId="77777777" w:rsidR="003F779F" w:rsidRDefault="003F779F" w:rsidP="00606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F390" w14:textId="7D2FC9D2" w:rsidR="00363368" w:rsidRPr="00363368" w:rsidRDefault="00363368" w:rsidP="00363368">
    <w:pPr>
      <w:pStyle w:val="Header"/>
      <w:ind w:left="5387"/>
      <w:jc w:val="right"/>
      <w:rPr>
        <w:i/>
        <w:iCs/>
      </w:rPr>
    </w:pPr>
    <w:r w:rsidRPr="00363368">
      <w:rPr>
        <w:i/>
        <w:iCs/>
      </w:rPr>
      <w:t>Hasanuddin Global Student Conference on Social and Political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0017" w14:textId="77777777" w:rsidR="004C6797" w:rsidRPr="00363368" w:rsidRDefault="004C6797" w:rsidP="001F4CCB">
    <w:pPr>
      <w:pStyle w:val="Header"/>
      <w:ind w:left="5387"/>
      <w:jc w:val="right"/>
      <w:rPr>
        <w:i/>
        <w:iCs/>
      </w:rPr>
    </w:pPr>
    <w:r w:rsidRPr="00363368">
      <w:rPr>
        <w:i/>
        <w:iCs/>
      </w:rPr>
      <w:t>Hasanuddin Global Student Conference on Social and Political Science</w:t>
    </w:r>
  </w:p>
  <w:p w14:paraId="795D4140" w14:textId="77777777" w:rsidR="004C6797" w:rsidRPr="001F4CCB" w:rsidRDefault="004C6797" w:rsidP="001F4C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CF08" w14:textId="77777777" w:rsidR="001F4CCB" w:rsidRPr="00363368" w:rsidRDefault="001F4CCB" w:rsidP="001F4CCB">
    <w:pPr>
      <w:pStyle w:val="Header"/>
      <w:ind w:left="5387"/>
      <w:jc w:val="right"/>
      <w:rPr>
        <w:i/>
        <w:iCs/>
      </w:rPr>
    </w:pPr>
    <w:r w:rsidRPr="00363368">
      <w:rPr>
        <w:i/>
        <w:iCs/>
      </w:rPr>
      <w:t>Hasanuddin Global Student Conference on Social and Political Science</w:t>
    </w:r>
  </w:p>
  <w:p w14:paraId="56F25BE9" w14:textId="77777777" w:rsidR="00640082" w:rsidRPr="001F4CCB" w:rsidRDefault="00640082" w:rsidP="001F4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566"/>
    <w:multiLevelType w:val="hybridMultilevel"/>
    <w:tmpl w:val="979E26A8"/>
    <w:lvl w:ilvl="0" w:tplc="8624B132">
      <w:numFmt w:val="bullet"/>
      <w:lvlText w:val=""/>
      <w:lvlJc w:val="left"/>
      <w:pPr>
        <w:ind w:left="1288" w:hanging="360"/>
      </w:pPr>
      <w:rPr>
        <w:rFonts w:ascii="Symbol" w:eastAsia="Symbol" w:hAnsi="Symbol" w:cs="Symbol" w:hint="default"/>
        <w:b w:val="0"/>
        <w:bCs w:val="0"/>
        <w:i w:val="0"/>
        <w:iCs w:val="0"/>
        <w:spacing w:val="0"/>
        <w:w w:val="97"/>
        <w:sz w:val="20"/>
        <w:szCs w:val="20"/>
        <w:lang w:val="en-US" w:eastAsia="en-US" w:bidi="ar-SA"/>
      </w:rPr>
    </w:lvl>
    <w:lvl w:ilvl="1" w:tplc="71E0FEE4">
      <w:numFmt w:val="bullet"/>
      <w:lvlText w:val="•"/>
      <w:lvlJc w:val="left"/>
      <w:pPr>
        <w:ind w:left="2017" w:hanging="360"/>
      </w:pPr>
      <w:rPr>
        <w:rFonts w:hint="default"/>
        <w:lang w:val="en-US" w:eastAsia="en-US" w:bidi="ar-SA"/>
      </w:rPr>
    </w:lvl>
    <w:lvl w:ilvl="2" w:tplc="26723B54">
      <w:numFmt w:val="bullet"/>
      <w:lvlText w:val="•"/>
      <w:lvlJc w:val="left"/>
      <w:pPr>
        <w:ind w:left="2754" w:hanging="360"/>
      </w:pPr>
      <w:rPr>
        <w:rFonts w:hint="default"/>
        <w:lang w:val="en-US" w:eastAsia="en-US" w:bidi="ar-SA"/>
      </w:rPr>
    </w:lvl>
    <w:lvl w:ilvl="3" w:tplc="5AD62440">
      <w:numFmt w:val="bullet"/>
      <w:lvlText w:val="•"/>
      <w:lvlJc w:val="left"/>
      <w:pPr>
        <w:ind w:left="3491" w:hanging="360"/>
      </w:pPr>
      <w:rPr>
        <w:rFonts w:hint="default"/>
        <w:lang w:val="en-US" w:eastAsia="en-US" w:bidi="ar-SA"/>
      </w:rPr>
    </w:lvl>
    <w:lvl w:ilvl="4" w:tplc="2ABCDEA8">
      <w:numFmt w:val="bullet"/>
      <w:lvlText w:val="•"/>
      <w:lvlJc w:val="left"/>
      <w:pPr>
        <w:ind w:left="4228" w:hanging="360"/>
      </w:pPr>
      <w:rPr>
        <w:rFonts w:hint="default"/>
        <w:lang w:val="en-US" w:eastAsia="en-US" w:bidi="ar-SA"/>
      </w:rPr>
    </w:lvl>
    <w:lvl w:ilvl="5" w:tplc="619ADD64">
      <w:numFmt w:val="bullet"/>
      <w:lvlText w:val="•"/>
      <w:lvlJc w:val="left"/>
      <w:pPr>
        <w:ind w:left="4966" w:hanging="360"/>
      </w:pPr>
      <w:rPr>
        <w:rFonts w:hint="default"/>
        <w:lang w:val="en-US" w:eastAsia="en-US" w:bidi="ar-SA"/>
      </w:rPr>
    </w:lvl>
    <w:lvl w:ilvl="6" w:tplc="E4DEC4F0">
      <w:numFmt w:val="bullet"/>
      <w:lvlText w:val="•"/>
      <w:lvlJc w:val="left"/>
      <w:pPr>
        <w:ind w:left="5703" w:hanging="360"/>
      </w:pPr>
      <w:rPr>
        <w:rFonts w:hint="default"/>
        <w:lang w:val="en-US" w:eastAsia="en-US" w:bidi="ar-SA"/>
      </w:rPr>
    </w:lvl>
    <w:lvl w:ilvl="7" w:tplc="D7F45B74">
      <w:numFmt w:val="bullet"/>
      <w:lvlText w:val="•"/>
      <w:lvlJc w:val="left"/>
      <w:pPr>
        <w:ind w:left="6440" w:hanging="360"/>
      </w:pPr>
      <w:rPr>
        <w:rFonts w:hint="default"/>
        <w:lang w:val="en-US" w:eastAsia="en-US" w:bidi="ar-SA"/>
      </w:rPr>
    </w:lvl>
    <w:lvl w:ilvl="8" w:tplc="DF64B766">
      <w:numFmt w:val="bullet"/>
      <w:lvlText w:val="•"/>
      <w:lvlJc w:val="left"/>
      <w:pPr>
        <w:ind w:left="7177" w:hanging="360"/>
      </w:pPr>
      <w:rPr>
        <w:rFonts w:hint="default"/>
        <w:lang w:val="en-US" w:eastAsia="en-US" w:bidi="ar-SA"/>
      </w:rPr>
    </w:lvl>
  </w:abstractNum>
  <w:abstractNum w:abstractNumId="1" w15:restartNumberingAfterBreak="0">
    <w:nsid w:val="0A7E388B"/>
    <w:multiLevelType w:val="hybridMultilevel"/>
    <w:tmpl w:val="C83095CE"/>
    <w:lvl w:ilvl="0" w:tplc="AA7019E6">
      <w:start w:val="1"/>
      <w:numFmt w:val="decimal"/>
      <w:lvlText w:val="%1."/>
      <w:lvlJc w:val="left"/>
      <w:pPr>
        <w:ind w:left="1286" w:hanging="360"/>
      </w:pPr>
      <w:rPr>
        <w:rFonts w:ascii="Times New Roman" w:eastAsia="Times New Roman" w:hAnsi="Times New Roman" w:cs="Times New Roman" w:hint="default"/>
        <w:b/>
        <w:bCs/>
        <w:i w:val="0"/>
        <w:iCs w:val="0"/>
        <w:spacing w:val="0"/>
        <w:w w:val="100"/>
        <w:sz w:val="24"/>
        <w:szCs w:val="24"/>
        <w:lang w:val="en-US" w:eastAsia="en-US" w:bidi="ar-SA"/>
      </w:rPr>
    </w:lvl>
    <w:lvl w:ilvl="1" w:tplc="0144E0B4">
      <w:start w:val="1"/>
      <w:numFmt w:val="upperLetter"/>
      <w:lvlText w:val="%2."/>
      <w:lvlJc w:val="left"/>
      <w:pPr>
        <w:ind w:left="1644" w:hanging="359"/>
      </w:pPr>
      <w:rPr>
        <w:rFonts w:ascii="Times New Roman" w:eastAsia="Times New Roman" w:hAnsi="Times New Roman" w:cs="Times New Roman" w:hint="default"/>
        <w:b w:val="0"/>
        <w:bCs w:val="0"/>
        <w:i w:val="0"/>
        <w:iCs w:val="0"/>
        <w:spacing w:val="0"/>
        <w:w w:val="96"/>
        <w:sz w:val="20"/>
        <w:szCs w:val="20"/>
        <w:lang w:val="en-US" w:eastAsia="en-US" w:bidi="ar-SA"/>
      </w:rPr>
    </w:lvl>
    <w:lvl w:ilvl="2" w:tplc="1C5C5A7E">
      <w:numFmt w:val="bullet"/>
      <w:lvlText w:val="•"/>
      <w:lvlJc w:val="left"/>
      <w:pPr>
        <w:ind w:left="2419" w:hanging="359"/>
      </w:pPr>
      <w:rPr>
        <w:rFonts w:hint="default"/>
        <w:lang w:val="en-US" w:eastAsia="en-US" w:bidi="ar-SA"/>
      </w:rPr>
    </w:lvl>
    <w:lvl w:ilvl="3" w:tplc="113A2D04">
      <w:numFmt w:val="bullet"/>
      <w:lvlText w:val="•"/>
      <w:lvlJc w:val="left"/>
      <w:pPr>
        <w:ind w:left="3198" w:hanging="359"/>
      </w:pPr>
      <w:rPr>
        <w:rFonts w:hint="default"/>
        <w:lang w:val="en-US" w:eastAsia="en-US" w:bidi="ar-SA"/>
      </w:rPr>
    </w:lvl>
    <w:lvl w:ilvl="4" w:tplc="81D40D02">
      <w:numFmt w:val="bullet"/>
      <w:lvlText w:val="•"/>
      <w:lvlJc w:val="left"/>
      <w:pPr>
        <w:ind w:left="3977" w:hanging="359"/>
      </w:pPr>
      <w:rPr>
        <w:rFonts w:hint="default"/>
        <w:lang w:val="en-US" w:eastAsia="en-US" w:bidi="ar-SA"/>
      </w:rPr>
    </w:lvl>
    <w:lvl w:ilvl="5" w:tplc="7D00D19C">
      <w:numFmt w:val="bullet"/>
      <w:lvlText w:val="•"/>
      <w:lvlJc w:val="left"/>
      <w:pPr>
        <w:ind w:left="4756" w:hanging="359"/>
      </w:pPr>
      <w:rPr>
        <w:rFonts w:hint="default"/>
        <w:lang w:val="en-US" w:eastAsia="en-US" w:bidi="ar-SA"/>
      </w:rPr>
    </w:lvl>
    <w:lvl w:ilvl="6" w:tplc="EB3CDDBE">
      <w:numFmt w:val="bullet"/>
      <w:lvlText w:val="•"/>
      <w:lvlJc w:val="left"/>
      <w:pPr>
        <w:ind w:left="5535" w:hanging="359"/>
      </w:pPr>
      <w:rPr>
        <w:rFonts w:hint="default"/>
        <w:lang w:val="en-US" w:eastAsia="en-US" w:bidi="ar-SA"/>
      </w:rPr>
    </w:lvl>
    <w:lvl w:ilvl="7" w:tplc="67385836">
      <w:numFmt w:val="bullet"/>
      <w:lvlText w:val="•"/>
      <w:lvlJc w:val="left"/>
      <w:pPr>
        <w:ind w:left="6314" w:hanging="359"/>
      </w:pPr>
      <w:rPr>
        <w:rFonts w:hint="default"/>
        <w:lang w:val="en-US" w:eastAsia="en-US" w:bidi="ar-SA"/>
      </w:rPr>
    </w:lvl>
    <w:lvl w:ilvl="8" w:tplc="73949540">
      <w:numFmt w:val="bullet"/>
      <w:lvlText w:val="•"/>
      <w:lvlJc w:val="left"/>
      <w:pPr>
        <w:ind w:left="7093" w:hanging="359"/>
      </w:pPr>
      <w:rPr>
        <w:rFonts w:hint="default"/>
        <w:lang w:val="en-US" w:eastAsia="en-US" w:bidi="ar-SA"/>
      </w:rPr>
    </w:lvl>
  </w:abstractNum>
  <w:abstractNum w:abstractNumId="2" w15:restartNumberingAfterBreak="0">
    <w:nsid w:val="10F069F5"/>
    <w:multiLevelType w:val="hybridMultilevel"/>
    <w:tmpl w:val="AE42A270"/>
    <w:lvl w:ilvl="0" w:tplc="0BFC0D40">
      <w:start w:val="1"/>
      <w:numFmt w:val="decimal"/>
      <w:lvlText w:val="%1"/>
      <w:lvlJc w:val="left"/>
      <w:pPr>
        <w:ind w:left="1800" w:hanging="360"/>
      </w:pPr>
      <w:rPr>
        <w:rFonts w:hint="default"/>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5121816"/>
    <w:multiLevelType w:val="multilevel"/>
    <w:tmpl w:val="817A9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571297"/>
    <w:multiLevelType w:val="multilevel"/>
    <w:tmpl w:val="9CEC916A"/>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267D3BCB"/>
    <w:multiLevelType w:val="hybridMultilevel"/>
    <w:tmpl w:val="9968C9DE"/>
    <w:lvl w:ilvl="0" w:tplc="00D2D4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774959"/>
    <w:multiLevelType w:val="hybridMultilevel"/>
    <w:tmpl w:val="43544E88"/>
    <w:lvl w:ilvl="0" w:tplc="3809000F">
      <w:start w:val="1"/>
      <w:numFmt w:val="decimal"/>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7" w15:restartNumberingAfterBreak="0">
    <w:nsid w:val="2CEB759D"/>
    <w:multiLevelType w:val="hybridMultilevel"/>
    <w:tmpl w:val="300C9992"/>
    <w:lvl w:ilvl="0" w:tplc="9F7AB946">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2F202561"/>
    <w:multiLevelType w:val="hybridMultilevel"/>
    <w:tmpl w:val="2B408AD0"/>
    <w:lvl w:ilvl="0" w:tplc="D400B8A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FF622D9"/>
    <w:multiLevelType w:val="multilevel"/>
    <w:tmpl w:val="3516D628"/>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0" w15:restartNumberingAfterBreak="0">
    <w:nsid w:val="30027D4D"/>
    <w:multiLevelType w:val="hybridMultilevel"/>
    <w:tmpl w:val="842AD412"/>
    <w:lvl w:ilvl="0" w:tplc="38090017">
      <w:start w:val="1"/>
      <w:numFmt w:val="lowerLetter"/>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1" w15:restartNumberingAfterBreak="0">
    <w:nsid w:val="3525115E"/>
    <w:multiLevelType w:val="multilevel"/>
    <w:tmpl w:val="6414D874"/>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68431D0"/>
    <w:multiLevelType w:val="multilevel"/>
    <w:tmpl w:val="4CE691F6"/>
    <w:lvl w:ilvl="0">
      <w:start w:val="1"/>
      <w:numFmt w:val="decimal"/>
      <w:lvlText w:val="%1."/>
      <w:lvlJc w:val="left"/>
      <w:pPr>
        <w:ind w:left="717" w:hanging="360"/>
      </w:pPr>
      <w:rPr>
        <w:u w:val="none"/>
      </w:rPr>
    </w:lvl>
    <w:lvl w:ilvl="1">
      <w:start w:val="1"/>
      <w:numFmt w:val="lowerLetter"/>
      <w:lvlText w:val="%2."/>
      <w:lvlJc w:val="left"/>
      <w:pPr>
        <w:ind w:left="1437" w:hanging="360"/>
      </w:pPr>
      <w:rPr>
        <w:i w:val="0"/>
        <w:iCs/>
        <w:u w:val="none"/>
      </w:rPr>
    </w:lvl>
    <w:lvl w:ilvl="2">
      <w:start w:val="1"/>
      <w:numFmt w:val="lowerRoman"/>
      <w:lvlText w:val="%3."/>
      <w:lvlJc w:val="right"/>
      <w:pPr>
        <w:ind w:left="2157" w:hanging="180"/>
      </w:pPr>
      <w:rPr>
        <w:u w:val="none"/>
      </w:rPr>
    </w:lvl>
    <w:lvl w:ilvl="3">
      <w:start w:val="1"/>
      <w:numFmt w:val="decimal"/>
      <w:lvlText w:val="%4."/>
      <w:lvlJc w:val="left"/>
      <w:pPr>
        <w:ind w:left="2877" w:hanging="360"/>
      </w:pPr>
      <w:rPr>
        <w:u w:val="none"/>
      </w:rPr>
    </w:lvl>
    <w:lvl w:ilvl="4">
      <w:start w:val="1"/>
      <w:numFmt w:val="lowerLetter"/>
      <w:lvlText w:val="%5."/>
      <w:lvlJc w:val="left"/>
      <w:pPr>
        <w:ind w:left="3597" w:hanging="360"/>
      </w:pPr>
      <w:rPr>
        <w:u w:val="none"/>
      </w:rPr>
    </w:lvl>
    <w:lvl w:ilvl="5">
      <w:start w:val="1"/>
      <w:numFmt w:val="lowerRoman"/>
      <w:lvlText w:val="%6."/>
      <w:lvlJc w:val="right"/>
      <w:pPr>
        <w:ind w:left="4317" w:hanging="180"/>
      </w:pPr>
      <w:rPr>
        <w:u w:val="none"/>
      </w:rPr>
    </w:lvl>
    <w:lvl w:ilvl="6">
      <w:start w:val="1"/>
      <w:numFmt w:val="decimal"/>
      <w:lvlText w:val="%7."/>
      <w:lvlJc w:val="left"/>
      <w:pPr>
        <w:ind w:left="5037" w:hanging="360"/>
      </w:pPr>
      <w:rPr>
        <w:u w:val="none"/>
      </w:rPr>
    </w:lvl>
    <w:lvl w:ilvl="7">
      <w:start w:val="1"/>
      <w:numFmt w:val="lowerLetter"/>
      <w:lvlText w:val="%8."/>
      <w:lvlJc w:val="left"/>
      <w:pPr>
        <w:ind w:left="5757" w:hanging="360"/>
      </w:pPr>
      <w:rPr>
        <w:u w:val="none"/>
      </w:rPr>
    </w:lvl>
    <w:lvl w:ilvl="8">
      <w:start w:val="1"/>
      <w:numFmt w:val="lowerRoman"/>
      <w:lvlText w:val="%9."/>
      <w:lvlJc w:val="right"/>
      <w:pPr>
        <w:ind w:left="6477" w:hanging="180"/>
      </w:pPr>
      <w:rPr>
        <w:u w:val="none"/>
      </w:rPr>
    </w:lvl>
  </w:abstractNum>
  <w:abstractNum w:abstractNumId="13" w15:restartNumberingAfterBreak="0">
    <w:nsid w:val="3A59369E"/>
    <w:multiLevelType w:val="hybridMultilevel"/>
    <w:tmpl w:val="4078C618"/>
    <w:lvl w:ilvl="0" w:tplc="38090017">
      <w:start w:val="1"/>
      <w:numFmt w:val="lowerLetter"/>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4" w15:restartNumberingAfterBreak="0">
    <w:nsid w:val="42630319"/>
    <w:multiLevelType w:val="hybridMultilevel"/>
    <w:tmpl w:val="E6C470A4"/>
    <w:lvl w:ilvl="0" w:tplc="FFFFFFFF">
      <w:start w:val="1"/>
      <w:numFmt w:val="decimal"/>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5" w15:restartNumberingAfterBreak="0">
    <w:nsid w:val="4CCE3058"/>
    <w:multiLevelType w:val="hybridMultilevel"/>
    <w:tmpl w:val="E6C470A4"/>
    <w:lvl w:ilvl="0" w:tplc="FFFFFFFF">
      <w:start w:val="1"/>
      <w:numFmt w:val="decimal"/>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 w15:restartNumberingAfterBreak="0">
    <w:nsid w:val="511276B6"/>
    <w:multiLevelType w:val="hybridMultilevel"/>
    <w:tmpl w:val="3D44B57E"/>
    <w:lvl w:ilvl="0" w:tplc="F7DC4AC0">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544647BE"/>
    <w:multiLevelType w:val="hybridMultilevel"/>
    <w:tmpl w:val="FB2C6408"/>
    <w:lvl w:ilvl="0" w:tplc="38090017">
      <w:start w:val="1"/>
      <w:numFmt w:val="lowerLetter"/>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8" w15:restartNumberingAfterBreak="0">
    <w:nsid w:val="561E780C"/>
    <w:multiLevelType w:val="hybridMultilevel"/>
    <w:tmpl w:val="E6C470A4"/>
    <w:lvl w:ilvl="0" w:tplc="B1B27AF0">
      <w:start w:val="1"/>
      <w:numFmt w:val="decimal"/>
      <w:lvlText w:val="%1."/>
      <w:lvlJc w:val="left"/>
      <w:pPr>
        <w:ind w:left="717" w:hanging="360"/>
      </w:pPr>
      <w:rPr>
        <w:rFonts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0">
    <w:nsid w:val="59F41E12"/>
    <w:multiLevelType w:val="hybridMultilevel"/>
    <w:tmpl w:val="BB32DDB8"/>
    <w:lvl w:ilvl="0" w:tplc="3809000F">
      <w:start w:val="1"/>
      <w:numFmt w:val="decimal"/>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20" w15:restartNumberingAfterBreak="0">
    <w:nsid w:val="5D4A2313"/>
    <w:multiLevelType w:val="hybridMultilevel"/>
    <w:tmpl w:val="E6C470A4"/>
    <w:lvl w:ilvl="0" w:tplc="FFFFFFFF">
      <w:start w:val="1"/>
      <w:numFmt w:val="decimal"/>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1" w15:restartNumberingAfterBreak="0">
    <w:nsid w:val="5FAE66DF"/>
    <w:multiLevelType w:val="hybridMultilevel"/>
    <w:tmpl w:val="FD72B27C"/>
    <w:lvl w:ilvl="0" w:tplc="922E525C">
      <w:start w:val="1"/>
      <w:numFmt w:val="decimal"/>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61FC3BDC"/>
    <w:multiLevelType w:val="hybridMultilevel"/>
    <w:tmpl w:val="38B020FE"/>
    <w:lvl w:ilvl="0" w:tplc="38090017">
      <w:start w:val="1"/>
      <w:numFmt w:val="lowerLetter"/>
      <w:lvlText w:val="%1)"/>
      <w:lvlJc w:val="left"/>
      <w:pPr>
        <w:ind w:left="206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97CCE"/>
    <w:multiLevelType w:val="hybridMultilevel"/>
    <w:tmpl w:val="8DCC6A04"/>
    <w:lvl w:ilvl="0" w:tplc="3809000F">
      <w:start w:val="1"/>
      <w:numFmt w:val="decimal"/>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24" w15:restartNumberingAfterBreak="0">
    <w:nsid w:val="7D36435B"/>
    <w:multiLevelType w:val="hybridMultilevel"/>
    <w:tmpl w:val="D96802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5397969">
    <w:abstractNumId w:val="4"/>
  </w:num>
  <w:num w:numId="2" w16cid:durableId="273174328">
    <w:abstractNumId w:val="18"/>
  </w:num>
  <w:num w:numId="3" w16cid:durableId="1587109126">
    <w:abstractNumId w:val="21"/>
  </w:num>
  <w:num w:numId="4" w16cid:durableId="108135450">
    <w:abstractNumId w:val="16"/>
  </w:num>
  <w:num w:numId="5" w16cid:durableId="367147090">
    <w:abstractNumId w:val="7"/>
  </w:num>
  <w:num w:numId="6" w16cid:durableId="745689764">
    <w:abstractNumId w:val="12"/>
  </w:num>
  <w:num w:numId="7" w16cid:durableId="994802695">
    <w:abstractNumId w:val="22"/>
  </w:num>
  <w:num w:numId="8" w16cid:durableId="1004089244">
    <w:abstractNumId w:val="5"/>
  </w:num>
  <w:num w:numId="9" w16cid:durableId="36324583">
    <w:abstractNumId w:val="8"/>
  </w:num>
  <w:num w:numId="10" w16cid:durableId="1508255586">
    <w:abstractNumId w:val="3"/>
  </w:num>
  <w:num w:numId="11" w16cid:durableId="1758356158">
    <w:abstractNumId w:val="11"/>
  </w:num>
  <w:num w:numId="12" w16cid:durableId="1855267762">
    <w:abstractNumId w:val="24"/>
  </w:num>
  <w:num w:numId="13" w16cid:durableId="347214480">
    <w:abstractNumId w:val="9"/>
  </w:num>
  <w:num w:numId="14" w16cid:durableId="462387649">
    <w:abstractNumId w:val="0"/>
  </w:num>
  <w:num w:numId="15" w16cid:durableId="188301018">
    <w:abstractNumId w:val="1"/>
  </w:num>
  <w:num w:numId="16" w16cid:durableId="1254775180">
    <w:abstractNumId w:val="20"/>
  </w:num>
  <w:num w:numId="17" w16cid:durableId="1572151550">
    <w:abstractNumId w:val="15"/>
  </w:num>
  <w:num w:numId="18" w16cid:durableId="2114546452">
    <w:abstractNumId w:val="14"/>
  </w:num>
  <w:num w:numId="19" w16cid:durableId="1680155541">
    <w:abstractNumId w:val="13"/>
  </w:num>
  <w:num w:numId="20" w16cid:durableId="1469202467">
    <w:abstractNumId w:val="10"/>
  </w:num>
  <w:num w:numId="21" w16cid:durableId="1253666354">
    <w:abstractNumId w:val="17"/>
  </w:num>
  <w:num w:numId="22" w16cid:durableId="785544650">
    <w:abstractNumId w:val="6"/>
  </w:num>
  <w:num w:numId="23" w16cid:durableId="1135758063">
    <w:abstractNumId w:val="23"/>
  </w:num>
  <w:num w:numId="24" w16cid:durableId="1006707509">
    <w:abstractNumId w:val="19"/>
  </w:num>
  <w:num w:numId="25" w16cid:durableId="1430615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DB9"/>
    <w:rsid w:val="00043D40"/>
    <w:rsid w:val="00064125"/>
    <w:rsid w:val="000657DB"/>
    <w:rsid w:val="00074FE6"/>
    <w:rsid w:val="000B46E4"/>
    <w:rsid w:val="00111C26"/>
    <w:rsid w:val="00124A54"/>
    <w:rsid w:val="001611DD"/>
    <w:rsid w:val="001B3F12"/>
    <w:rsid w:val="001C1C78"/>
    <w:rsid w:val="001D2BD5"/>
    <w:rsid w:val="001E5818"/>
    <w:rsid w:val="001F4CCB"/>
    <w:rsid w:val="001F5109"/>
    <w:rsid w:val="0022739C"/>
    <w:rsid w:val="00247A9E"/>
    <w:rsid w:val="00273D21"/>
    <w:rsid w:val="00281F4E"/>
    <w:rsid w:val="002E59AD"/>
    <w:rsid w:val="003108B2"/>
    <w:rsid w:val="00317D6C"/>
    <w:rsid w:val="00363368"/>
    <w:rsid w:val="00380B1B"/>
    <w:rsid w:val="003C626F"/>
    <w:rsid w:val="003F779F"/>
    <w:rsid w:val="00407F95"/>
    <w:rsid w:val="00425A83"/>
    <w:rsid w:val="004317DF"/>
    <w:rsid w:val="004373EC"/>
    <w:rsid w:val="00443BEB"/>
    <w:rsid w:val="00460A7D"/>
    <w:rsid w:val="00467159"/>
    <w:rsid w:val="004739B2"/>
    <w:rsid w:val="004C6797"/>
    <w:rsid w:val="004F29B9"/>
    <w:rsid w:val="00532D64"/>
    <w:rsid w:val="00544A9E"/>
    <w:rsid w:val="005565EB"/>
    <w:rsid w:val="00574976"/>
    <w:rsid w:val="0058252E"/>
    <w:rsid w:val="005978A6"/>
    <w:rsid w:val="005B296B"/>
    <w:rsid w:val="005E0F09"/>
    <w:rsid w:val="00606CDC"/>
    <w:rsid w:val="00620206"/>
    <w:rsid w:val="00640082"/>
    <w:rsid w:val="006701AC"/>
    <w:rsid w:val="006833DD"/>
    <w:rsid w:val="00684F11"/>
    <w:rsid w:val="006F292E"/>
    <w:rsid w:val="00726AE4"/>
    <w:rsid w:val="00771959"/>
    <w:rsid w:val="007749FE"/>
    <w:rsid w:val="00782144"/>
    <w:rsid w:val="007D63BA"/>
    <w:rsid w:val="00822617"/>
    <w:rsid w:val="0088357A"/>
    <w:rsid w:val="008D1BEF"/>
    <w:rsid w:val="008E1409"/>
    <w:rsid w:val="008E37C0"/>
    <w:rsid w:val="00964F09"/>
    <w:rsid w:val="00966220"/>
    <w:rsid w:val="009705D0"/>
    <w:rsid w:val="00A305D2"/>
    <w:rsid w:val="00A55D44"/>
    <w:rsid w:val="00A714D2"/>
    <w:rsid w:val="00A820F4"/>
    <w:rsid w:val="00A903EA"/>
    <w:rsid w:val="00AF7A5A"/>
    <w:rsid w:val="00BA3ACB"/>
    <w:rsid w:val="00C34232"/>
    <w:rsid w:val="00C947A5"/>
    <w:rsid w:val="00CB5E65"/>
    <w:rsid w:val="00CB77A7"/>
    <w:rsid w:val="00CF27C6"/>
    <w:rsid w:val="00D250D8"/>
    <w:rsid w:val="00D304D3"/>
    <w:rsid w:val="00D432AA"/>
    <w:rsid w:val="00D508DE"/>
    <w:rsid w:val="00D52DB9"/>
    <w:rsid w:val="00D61D09"/>
    <w:rsid w:val="00DC1D74"/>
    <w:rsid w:val="00DE43D5"/>
    <w:rsid w:val="00E9005F"/>
    <w:rsid w:val="00ED53C0"/>
    <w:rsid w:val="00F167CA"/>
    <w:rsid w:val="00F47AD8"/>
    <w:rsid w:val="00F7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99235"/>
  <w15:docId w15:val="{98C47DAB-7246-43DA-A859-992EEBA1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UDUL"/>
    <w:basedOn w:val="Normal"/>
    <w:next w:val="Normal"/>
    <w:link w:val="Heading1Char"/>
    <w:uiPriority w:val="9"/>
    <w:qFormat/>
    <w:rsid w:val="00620206"/>
    <w:pPr>
      <w:jc w:val="center"/>
      <w:outlineLvl w:val="0"/>
    </w:pPr>
    <w:rPr>
      <w:rFonts w:ascii="Times New Roman" w:hAnsi="Times New Roman" w:cs="Times New Roman"/>
      <w:b/>
      <w:bCs/>
      <w:sz w:val="28"/>
      <w:szCs w:val="28"/>
    </w:rPr>
  </w:style>
  <w:style w:type="paragraph" w:styleId="Heading2">
    <w:name w:val="heading 2"/>
    <w:aliases w:val="SUB Judul"/>
    <w:basedOn w:val="Normal"/>
    <w:next w:val="Normal"/>
    <w:link w:val="Heading2Char"/>
    <w:uiPriority w:val="9"/>
    <w:unhideWhenUsed/>
    <w:qFormat/>
    <w:rsid w:val="008E37C0"/>
    <w:pPr>
      <w:jc w:val="center"/>
      <w:outlineLvl w:val="1"/>
    </w:pPr>
    <w:rPr>
      <w:rFonts w:ascii="Times New Roman" w:hAnsi="Times New Roman" w:cs="Times New Roman"/>
      <w:b/>
      <w:bCs/>
      <w:sz w:val="24"/>
      <w:szCs w:val="24"/>
      <w:lang w:val="sv-SE"/>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JUDUL Char"/>
    <w:basedOn w:val="DefaultParagraphFont"/>
    <w:link w:val="Heading1"/>
    <w:uiPriority w:val="9"/>
    <w:rsid w:val="00620206"/>
    <w:rPr>
      <w:rFonts w:ascii="Times New Roman" w:hAnsi="Times New Roman" w:cs="Times New Roman"/>
      <w:b/>
      <w:bCs/>
      <w:sz w:val="28"/>
      <w:szCs w:val="28"/>
    </w:rPr>
  </w:style>
  <w:style w:type="character" w:customStyle="1" w:styleId="Heading2Char">
    <w:name w:val="Heading 2 Char"/>
    <w:aliases w:val="SUB Judul Char"/>
    <w:basedOn w:val="DefaultParagraphFont"/>
    <w:link w:val="Heading2"/>
    <w:uiPriority w:val="9"/>
    <w:rsid w:val="008E37C0"/>
    <w:rPr>
      <w:rFonts w:ascii="Times New Roman" w:hAnsi="Times New Roman" w:cs="Times New Roman"/>
      <w:b/>
      <w:bCs/>
      <w:sz w:val="24"/>
      <w:szCs w:val="24"/>
      <w:lang w:val="sv-SE"/>
    </w:rPr>
  </w:style>
  <w:style w:type="paragraph" w:styleId="TOC1">
    <w:name w:val="toc 1"/>
    <w:basedOn w:val="Normal"/>
    <w:next w:val="Normal"/>
    <w:autoRedefine/>
    <w:uiPriority w:val="39"/>
    <w:unhideWhenUsed/>
    <w:rsid w:val="00467159"/>
    <w:pPr>
      <w:tabs>
        <w:tab w:val="right" w:leader="dot" w:pos="9016"/>
      </w:tabs>
      <w:spacing w:after="100"/>
      <w:jc w:val="left"/>
    </w:pPr>
    <w:rPr>
      <w:rFonts w:ascii="Times New Roman" w:hAnsi="Times New Roman"/>
      <w:b/>
      <w:bCs/>
      <w:noProof/>
      <w:sz w:val="28"/>
      <w:szCs w:val="24"/>
    </w:rPr>
  </w:style>
  <w:style w:type="paragraph" w:styleId="TOC3">
    <w:name w:val="toc 3"/>
    <w:basedOn w:val="Normal"/>
    <w:next w:val="Normal"/>
    <w:autoRedefine/>
    <w:uiPriority w:val="39"/>
    <w:unhideWhenUsed/>
    <w:rsid w:val="00F333F3"/>
    <w:pPr>
      <w:spacing w:after="100"/>
      <w:ind w:left="440"/>
    </w:pPr>
    <w:rPr>
      <w:rFonts w:ascii="Times New Roman" w:hAnsi="Times New Roman"/>
      <w:sz w:val="24"/>
    </w:rPr>
  </w:style>
  <w:style w:type="paragraph" w:styleId="ListParagraph">
    <w:name w:val="List Paragraph"/>
    <w:basedOn w:val="Normal"/>
    <w:uiPriority w:val="1"/>
    <w:qFormat/>
    <w:rsid w:val="00DD0997"/>
    <w:pPr>
      <w:ind w:left="720"/>
      <w:contextualSpacing/>
    </w:pPr>
  </w:style>
  <w:style w:type="paragraph" w:styleId="NormalWeb">
    <w:name w:val="Normal (Web)"/>
    <w:basedOn w:val="Normal"/>
    <w:uiPriority w:val="99"/>
    <w:unhideWhenUsed/>
    <w:rsid w:val="00C93575"/>
    <w:pPr>
      <w:spacing w:before="100" w:beforeAutospacing="1" w:after="100" w:afterAutospacing="1" w:line="240" w:lineRule="auto"/>
      <w:ind w:left="0"/>
      <w:jc w:val="left"/>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A612C"/>
    <w:pPr>
      <w:widowControl w:val="0"/>
      <w:autoSpaceDE w:val="0"/>
      <w:autoSpaceDN w:val="0"/>
      <w:spacing w:after="0" w:line="240" w:lineRule="auto"/>
      <w:ind w:left="0"/>
      <w:jc w:val="left"/>
    </w:pPr>
    <w:rPr>
      <w:sz w:val="24"/>
      <w:szCs w:val="24"/>
      <w:lang w:val="en-US"/>
    </w:rPr>
  </w:style>
  <w:style w:type="character" w:customStyle="1" w:styleId="BodyTextChar">
    <w:name w:val="Body Text Char"/>
    <w:basedOn w:val="DefaultParagraphFont"/>
    <w:link w:val="BodyText"/>
    <w:uiPriority w:val="1"/>
    <w:rsid w:val="009A612C"/>
    <w:rPr>
      <w:rFonts w:ascii="Calibri" w:eastAsia="Calibri" w:hAnsi="Calibri" w:cs="Calibri"/>
      <w:kern w:val="0"/>
      <w:sz w:val="24"/>
      <w:szCs w:val="24"/>
      <w:lang w:val="en-US"/>
    </w:rPr>
  </w:style>
  <w:style w:type="character" w:styleId="Hyperlink">
    <w:name w:val="Hyperlink"/>
    <w:basedOn w:val="DefaultParagraphFont"/>
    <w:uiPriority w:val="99"/>
    <w:unhideWhenUsed/>
    <w:rsid w:val="00395D5E"/>
    <w:rPr>
      <w:color w:val="0563C1" w:themeColor="hyperlink"/>
      <w:u w:val="single"/>
    </w:rPr>
  </w:style>
  <w:style w:type="character" w:styleId="UnresolvedMention">
    <w:name w:val="Unresolved Mention"/>
    <w:basedOn w:val="DefaultParagraphFont"/>
    <w:uiPriority w:val="99"/>
    <w:semiHidden/>
    <w:unhideWhenUsed/>
    <w:rsid w:val="00395D5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otnoteReference">
    <w:name w:val="footnote reference"/>
    <w:basedOn w:val="DefaultParagraphFont"/>
    <w:uiPriority w:val="99"/>
    <w:semiHidden/>
    <w:unhideWhenUsed/>
    <w:rsid w:val="00640082"/>
    <w:rPr>
      <w:vertAlign w:val="superscript"/>
    </w:rPr>
  </w:style>
  <w:style w:type="character" w:customStyle="1" w:styleId="Heading3Char">
    <w:name w:val="Heading 3 Char"/>
    <w:basedOn w:val="DefaultParagraphFont"/>
    <w:link w:val="Heading3"/>
    <w:uiPriority w:val="9"/>
    <w:rsid w:val="00640082"/>
    <w:rPr>
      <w:b/>
      <w:sz w:val="28"/>
      <w:szCs w:val="28"/>
    </w:rPr>
  </w:style>
  <w:style w:type="character" w:customStyle="1" w:styleId="Heading4Char">
    <w:name w:val="Heading 4 Char"/>
    <w:basedOn w:val="DefaultParagraphFont"/>
    <w:link w:val="Heading4"/>
    <w:uiPriority w:val="9"/>
    <w:rsid w:val="00640082"/>
    <w:rPr>
      <w:b/>
      <w:sz w:val="24"/>
      <w:szCs w:val="24"/>
    </w:rPr>
  </w:style>
  <w:style w:type="paragraph" w:styleId="Bibliography">
    <w:name w:val="Bibliography"/>
    <w:basedOn w:val="Normal"/>
    <w:next w:val="Normal"/>
    <w:uiPriority w:val="37"/>
    <w:semiHidden/>
    <w:unhideWhenUsed/>
    <w:rsid w:val="00640082"/>
  </w:style>
  <w:style w:type="character" w:styleId="Strong">
    <w:name w:val="Strong"/>
    <w:basedOn w:val="DefaultParagraphFont"/>
    <w:uiPriority w:val="22"/>
    <w:qFormat/>
    <w:rsid w:val="00640082"/>
    <w:rPr>
      <w:b/>
      <w:bCs/>
    </w:rPr>
  </w:style>
  <w:style w:type="paragraph" w:customStyle="1" w:styleId="TableParagraph">
    <w:name w:val="Table Paragraph"/>
    <w:basedOn w:val="Normal"/>
    <w:uiPriority w:val="1"/>
    <w:qFormat/>
    <w:rsid w:val="00640082"/>
    <w:pPr>
      <w:widowControl w:val="0"/>
      <w:autoSpaceDE w:val="0"/>
      <w:autoSpaceDN w:val="0"/>
      <w:spacing w:after="0" w:line="240" w:lineRule="auto"/>
      <w:ind w:left="0"/>
      <w:jc w:val="left"/>
    </w:pPr>
    <w:rPr>
      <w:rFonts w:ascii="Times New Roman" w:eastAsia="Times New Roman" w:hAnsi="Times New Roman" w:cs="Times New Roman"/>
      <w:lang w:val="en-US"/>
    </w:rPr>
  </w:style>
  <w:style w:type="paragraph" w:styleId="Header">
    <w:name w:val="header"/>
    <w:basedOn w:val="Normal"/>
    <w:link w:val="HeaderChar"/>
    <w:uiPriority w:val="99"/>
    <w:unhideWhenUsed/>
    <w:rsid w:val="00640082"/>
    <w:pPr>
      <w:widowControl w:val="0"/>
      <w:tabs>
        <w:tab w:val="center" w:pos="4680"/>
        <w:tab w:val="right" w:pos="9360"/>
      </w:tabs>
      <w:autoSpaceDE w:val="0"/>
      <w:autoSpaceDN w:val="0"/>
      <w:spacing w:after="0" w:line="240" w:lineRule="auto"/>
      <w:ind w:left="0"/>
      <w:jc w:val="left"/>
    </w:pPr>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640082"/>
    <w:rPr>
      <w:rFonts w:ascii="Times New Roman" w:eastAsia="Times New Roman" w:hAnsi="Times New Roman" w:cs="Times New Roman"/>
      <w:lang w:val="en-US"/>
    </w:rPr>
  </w:style>
  <w:style w:type="paragraph" w:styleId="Footer">
    <w:name w:val="footer"/>
    <w:basedOn w:val="Normal"/>
    <w:link w:val="FooterChar"/>
    <w:uiPriority w:val="99"/>
    <w:unhideWhenUsed/>
    <w:rsid w:val="00640082"/>
    <w:pPr>
      <w:widowControl w:val="0"/>
      <w:tabs>
        <w:tab w:val="center" w:pos="4680"/>
        <w:tab w:val="right" w:pos="9360"/>
      </w:tabs>
      <w:autoSpaceDE w:val="0"/>
      <w:autoSpaceDN w:val="0"/>
      <w:spacing w:after="0" w:line="240" w:lineRule="auto"/>
      <w:ind w:left="0"/>
      <w:jc w:val="left"/>
    </w:pPr>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640082"/>
    <w:rPr>
      <w:rFonts w:ascii="Times New Roman" w:eastAsia="Times New Roman" w:hAnsi="Times New Roman" w:cs="Times New Roman"/>
      <w:lang w:val="en-US"/>
    </w:rPr>
  </w:style>
  <w:style w:type="paragraph" w:styleId="TOCHeading">
    <w:name w:val="TOC Heading"/>
    <w:basedOn w:val="Heading1"/>
    <w:next w:val="Normal"/>
    <w:uiPriority w:val="39"/>
    <w:unhideWhenUsed/>
    <w:qFormat/>
    <w:rsid w:val="00620206"/>
    <w:pPr>
      <w:keepNext/>
      <w:keepLines/>
      <w:spacing w:before="240" w:after="0"/>
      <w:ind w:lef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D250D8"/>
    <w:pPr>
      <w:tabs>
        <w:tab w:val="right" w:leader="dot" w:pos="9016"/>
      </w:tabs>
      <w:spacing w:after="280"/>
      <w:ind w:left="221"/>
      <w:jc w:val="left"/>
    </w:pPr>
    <w:rPr>
      <w:rFonts w:ascii="Times New Roman" w:eastAsiaTheme="minorEastAsia" w:hAnsi="Times New Roman" w:cs="Times New Roman"/>
      <w:i/>
      <w:iC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8846">
      <w:bodyDiv w:val="1"/>
      <w:marLeft w:val="0"/>
      <w:marRight w:val="0"/>
      <w:marTop w:val="0"/>
      <w:marBottom w:val="0"/>
      <w:divBdr>
        <w:top w:val="none" w:sz="0" w:space="0" w:color="auto"/>
        <w:left w:val="none" w:sz="0" w:space="0" w:color="auto"/>
        <w:bottom w:val="none" w:sz="0" w:space="0" w:color="auto"/>
        <w:right w:val="none" w:sz="0" w:space="0" w:color="auto"/>
      </w:divBdr>
    </w:div>
    <w:div w:id="60833501">
      <w:bodyDiv w:val="1"/>
      <w:marLeft w:val="0"/>
      <w:marRight w:val="0"/>
      <w:marTop w:val="0"/>
      <w:marBottom w:val="0"/>
      <w:divBdr>
        <w:top w:val="none" w:sz="0" w:space="0" w:color="auto"/>
        <w:left w:val="none" w:sz="0" w:space="0" w:color="auto"/>
        <w:bottom w:val="none" w:sz="0" w:space="0" w:color="auto"/>
        <w:right w:val="none" w:sz="0" w:space="0" w:color="auto"/>
      </w:divBdr>
      <w:divsChild>
        <w:div w:id="3167428">
          <w:marLeft w:val="480"/>
          <w:marRight w:val="0"/>
          <w:marTop w:val="0"/>
          <w:marBottom w:val="0"/>
          <w:divBdr>
            <w:top w:val="none" w:sz="0" w:space="0" w:color="auto"/>
            <w:left w:val="none" w:sz="0" w:space="0" w:color="auto"/>
            <w:bottom w:val="none" w:sz="0" w:space="0" w:color="auto"/>
            <w:right w:val="none" w:sz="0" w:space="0" w:color="auto"/>
          </w:divBdr>
        </w:div>
      </w:divsChild>
    </w:div>
    <w:div w:id="159584621">
      <w:bodyDiv w:val="1"/>
      <w:marLeft w:val="0"/>
      <w:marRight w:val="0"/>
      <w:marTop w:val="0"/>
      <w:marBottom w:val="0"/>
      <w:divBdr>
        <w:top w:val="none" w:sz="0" w:space="0" w:color="auto"/>
        <w:left w:val="none" w:sz="0" w:space="0" w:color="auto"/>
        <w:bottom w:val="none" w:sz="0" w:space="0" w:color="auto"/>
        <w:right w:val="none" w:sz="0" w:space="0" w:color="auto"/>
      </w:divBdr>
    </w:div>
    <w:div w:id="202864858">
      <w:bodyDiv w:val="1"/>
      <w:marLeft w:val="0"/>
      <w:marRight w:val="0"/>
      <w:marTop w:val="0"/>
      <w:marBottom w:val="0"/>
      <w:divBdr>
        <w:top w:val="none" w:sz="0" w:space="0" w:color="auto"/>
        <w:left w:val="none" w:sz="0" w:space="0" w:color="auto"/>
        <w:bottom w:val="none" w:sz="0" w:space="0" w:color="auto"/>
        <w:right w:val="none" w:sz="0" w:space="0" w:color="auto"/>
      </w:divBdr>
    </w:div>
    <w:div w:id="205726004">
      <w:bodyDiv w:val="1"/>
      <w:marLeft w:val="0"/>
      <w:marRight w:val="0"/>
      <w:marTop w:val="0"/>
      <w:marBottom w:val="0"/>
      <w:divBdr>
        <w:top w:val="none" w:sz="0" w:space="0" w:color="auto"/>
        <w:left w:val="none" w:sz="0" w:space="0" w:color="auto"/>
        <w:bottom w:val="none" w:sz="0" w:space="0" w:color="auto"/>
        <w:right w:val="none" w:sz="0" w:space="0" w:color="auto"/>
      </w:divBdr>
    </w:div>
    <w:div w:id="215823452">
      <w:bodyDiv w:val="1"/>
      <w:marLeft w:val="0"/>
      <w:marRight w:val="0"/>
      <w:marTop w:val="0"/>
      <w:marBottom w:val="0"/>
      <w:divBdr>
        <w:top w:val="none" w:sz="0" w:space="0" w:color="auto"/>
        <w:left w:val="none" w:sz="0" w:space="0" w:color="auto"/>
        <w:bottom w:val="none" w:sz="0" w:space="0" w:color="auto"/>
        <w:right w:val="none" w:sz="0" w:space="0" w:color="auto"/>
      </w:divBdr>
    </w:div>
    <w:div w:id="220755279">
      <w:bodyDiv w:val="1"/>
      <w:marLeft w:val="0"/>
      <w:marRight w:val="0"/>
      <w:marTop w:val="0"/>
      <w:marBottom w:val="0"/>
      <w:divBdr>
        <w:top w:val="none" w:sz="0" w:space="0" w:color="auto"/>
        <w:left w:val="none" w:sz="0" w:space="0" w:color="auto"/>
        <w:bottom w:val="none" w:sz="0" w:space="0" w:color="auto"/>
        <w:right w:val="none" w:sz="0" w:space="0" w:color="auto"/>
      </w:divBdr>
    </w:div>
    <w:div w:id="237329843">
      <w:bodyDiv w:val="1"/>
      <w:marLeft w:val="0"/>
      <w:marRight w:val="0"/>
      <w:marTop w:val="0"/>
      <w:marBottom w:val="0"/>
      <w:divBdr>
        <w:top w:val="none" w:sz="0" w:space="0" w:color="auto"/>
        <w:left w:val="none" w:sz="0" w:space="0" w:color="auto"/>
        <w:bottom w:val="none" w:sz="0" w:space="0" w:color="auto"/>
        <w:right w:val="none" w:sz="0" w:space="0" w:color="auto"/>
      </w:divBdr>
    </w:div>
    <w:div w:id="238058280">
      <w:bodyDiv w:val="1"/>
      <w:marLeft w:val="0"/>
      <w:marRight w:val="0"/>
      <w:marTop w:val="0"/>
      <w:marBottom w:val="0"/>
      <w:divBdr>
        <w:top w:val="none" w:sz="0" w:space="0" w:color="auto"/>
        <w:left w:val="none" w:sz="0" w:space="0" w:color="auto"/>
        <w:bottom w:val="none" w:sz="0" w:space="0" w:color="auto"/>
        <w:right w:val="none" w:sz="0" w:space="0" w:color="auto"/>
      </w:divBdr>
    </w:div>
    <w:div w:id="311565958">
      <w:bodyDiv w:val="1"/>
      <w:marLeft w:val="0"/>
      <w:marRight w:val="0"/>
      <w:marTop w:val="0"/>
      <w:marBottom w:val="0"/>
      <w:divBdr>
        <w:top w:val="none" w:sz="0" w:space="0" w:color="auto"/>
        <w:left w:val="none" w:sz="0" w:space="0" w:color="auto"/>
        <w:bottom w:val="none" w:sz="0" w:space="0" w:color="auto"/>
        <w:right w:val="none" w:sz="0" w:space="0" w:color="auto"/>
      </w:divBdr>
    </w:div>
    <w:div w:id="337541044">
      <w:bodyDiv w:val="1"/>
      <w:marLeft w:val="0"/>
      <w:marRight w:val="0"/>
      <w:marTop w:val="0"/>
      <w:marBottom w:val="0"/>
      <w:divBdr>
        <w:top w:val="none" w:sz="0" w:space="0" w:color="auto"/>
        <w:left w:val="none" w:sz="0" w:space="0" w:color="auto"/>
        <w:bottom w:val="none" w:sz="0" w:space="0" w:color="auto"/>
        <w:right w:val="none" w:sz="0" w:space="0" w:color="auto"/>
      </w:divBdr>
    </w:div>
    <w:div w:id="343558270">
      <w:bodyDiv w:val="1"/>
      <w:marLeft w:val="0"/>
      <w:marRight w:val="0"/>
      <w:marTop w:val="0"/>
      <w:marBottom w:val="0"/>
      <w:divBdr>
        <w:top w:val="none" w:sz="0" w:space="0" w:color="auto"/>
        <w:left w:val="none" w:sz="0" w:space="0" w:color="auto"/>
        <w:bottom w:val="none" w:sz="0" w:space="0" w:color="auto"/>
        <w:right w:val="none" w:sz="0" w:space="0" w:color="auto"/>
      </w:divBdr>
    </w:div>
    <w:div w:id="349062584">
      <w:bodyDiv w:val="1"/>
      <w:marLeft w:val="0"/>
      <w:marRight w:val="0"/>
      <w:marTop w:val="0"/>
      <w:marBottom w:val="0"/>
      <w:divBdr>
        <w:top w:val="none" w:sz="0" w:space="0" w:color="auto"/>
        <w:left w:val="none" w:sz="0" w:space="0" w:color="auto"/>
        <w:bottom w:val="none" w:sz="0" w:space="0" w:color="auto"/>
        <w:right w:val="none" w:sz="0" w:space="0" w:color="auto"/>
      </w:divBdr>
    </w:div>
    <w:div w:id="354044756">
      <w:bodyDiv w:val="1"/>
      <w:marLeft w:val="0"/>
      <w:marRight w:val="0"/>
      <w:marTop w:val="0"/>
      <w:marBottom w:val="0"/>
      <w:divBdr>
        <w:top w:val="none" w:sz="0" w:space="0" w:color="auto"/>
        <w:left w:val="none" w:sz="0" w:space="0" w:color="auto"/>
        <w:bottom w:val="none" w:sz="0" w:space="0" w:color="auto"/>
        <w:right w:val="none" w:sz="0" w:space="0" w:color="auto"/>
      </w:divBdr>
    </w:div>
    <w:div w:id="370811091">
      <w:bodyDiv w:val="1"/>
      <w:marLeft w:val="0"/>
      <w:marRight w:val="0"/>
      <w:marTop w:val="0"/>
      <w:marBottom w:val="0"/>
      <w:divBdr>
        <w:top w:val="none" w:sz="0" w:space="0" w:color="auto"/>
        <w:left w:val="none" w:sz="0" w:space="0" w:color="auto"/>
        <w:bottom w:val="none" w:sz="0" w:space="0" w:color="auto"/>
        <w:right w:val="none" w:sz="0" w:space="0" w:color="auto"/>
      </w:divBdr>
    </w:div>
    <w:div w:id="423653227">
      <w:bodyDiv w:val="1"/>
      <w:marLeft w:val="0"/>
      <w:marRight w:val="0"/>
      <w:marTop w:val="0"/>
      <w:marBottom w:val="0"/>
      <w:divBdr>
        <w:top w:val="none" w:sz="0" w:space="0" w:color="auto"/>
        <w:left w:val="none" w:sz="0" w:space="0" w:color="auto"/>
        <w:bottom w:val="none" w:sz="0" w:space="0" w:color="auto"/>
        <w:right w:val="none" w:sz="0" w:space="0" w:color="auto"/>
      </w:divBdr>
    </w:div>
    <w:div w:id="505747367">
      <w:bodyDiv w:val="1"/>
      <w:marLeft w:val="0"/>
      <w:marRight w:val="0"/>
      <w:marTop w:val="0"/>
      <w:marBottom w:val="0"/>
      <w:divBdr>
        <w:top w:val="none" w:sz="0" w:space="0" w:color="auto"/>
        <w:left w:val="none" w:sz="0" w:space="0" w:color="auto"/>
        <w:bottom w:val="none" w:sz="0" w:space="0" w:color="auto"/>
        <w:right w:val="none" w:sz="0" w:space="0" w:color="auto"/>
      </w:divBdr>
    </w:div>
    <w:div w:id="506555292">
      <w:bodyDiv w:val="1"/>
      <w:marLeft w:val="0"/>
      <w:marRight w:val="0"/>
      <w:marTop w:val="0"/>
      <w:marBottom w:val="0"/>
      <w:divBdr>
        <w:top w:val="none" w:sz="0" w:space="0" w:color="auto"/>
        <w:left w:val="none" w:sz="0" w:space="0" w:color="auto"/>
        <w:bottom w:val="none" w:sz="0" w:space="0" w:color="auto"/>
        <w:right w:val="none" w:sz="0" w:space="0" w:color="auto"/>
      </w:divBdr>
    </w:div>
    <w:div w:id="528105569">
      <w:bodyDiv w:val="1"/>
      <w:marLeft w:val="0"/>
      <w:marRight w:val="0"/>
      <w:marTop w:val="0"/>
      <w:marBottom w:val="0"/>
      <w:divBdr>
        <w:top w:val="none" w:sz="0" w:space="0" w:color="auto"/>
        <w:left w:val="none" w:sz="0" w:space="0" w:color="auto"/>
        <w:bottom w:val="none" w:sz="0" w:space="0" w:color="auto"/>
        <w:right w:val="none" w:sz="0" w:space="0" w:color="auto"/>
      </w:divBdr>
    </w:div>
    <w:div w:id="644160490">
      <w:bodyDiv w:val="1"/>
      <w:marLeft w:val="0"/>
      <w:marRight w:val="0"/>
      <w:marTop w:val="0"/>
      <w:marBottom w:val="0"/>
      <w:divBdr>
        <w:top w:val="none" w:sz="0" w:space="0" w:color="auto"/>
        <w:left w:val="none" w:sz="0" w:space="0" w:color="auto"/>
        <w:bottom w:val="none" w:sz="0" w:space="0" w:color="auto"/>
        <w:right w:val="none" w:sz="0" w:space="0" w:color="auto"/>
      </w:divBdr>
    </w:div>
    <w:div w:id="688796717">
      <w:bodyDiv w:val="1"/>
      <w:marLeft w:val="0"/>
      <w:marRight w:val="0"/>
      <w:marTop w:val="0"/>
      <w:marBottom w:val="0"/>
      <w:divBdr>
        <w:top w:val="none" w:sz="0" w:space="0" w:color="auto"/>
        <w:left w:val="none" w:sz="0" w:space="0" w:color="auto"/>
        <w:bottom w:val="none" w:sz="0" w:space="0" w:color="auto"/>
        <w:right w:val="none" w:sz="0" w:space="0" w:color="auto"/>
      </w:divBdr>
    </w:div>
    <w:div w:id="697632345">
      <w:bodyDiv w:val="1"/>
      <w:marLeft w:val="0"/>
      <w:marRight w:val="0"/>
      <w:marTop w:val="0"/>
      <w:marBottom w:val="0"/>
      <w:divBdr>
        <w:top w:val="none" w:sz="0" w:space="0" w:color="auto"/>
        <w:left w:val="none" w:sz="0" w:space="0" w:color="auto"/>
        <w:bottom w:val="none" w:sz="0" w:space="0" w:color="auto"/>
        <w:right w:val="none" w:sz="0" w:space="0" w:color="auto"/>
      </w:divBdr>
    </w:div>
    <w:div w:id="734277133">
      <w:bodyDiv w:val="1"/>
      <w:marLeft w:val="0"/>
      <w:marRight w:val="0"/>
      <w:marTop w:val="0"/>
      <w:marBottom w:val="0"/>
      <w:divBdr>
        <w:top w:val="none" w:sz="0" w:space="0" w:color="auto"/>
        <w:left w:val="none" w:sz="0" w:space="0" w:color="auto"/>
        <w:bottom w:val="none" w:sz="0" w:space="0" w:color="auto"/>
        <w:right w:val="none" w:sz="0" w:space="0" w:color="auto"/>
      </w:divBdr>
    </w:div>
    <w:div w:id="879316423">
      <w:bodyDiv w:val="1"/>
      <w:marLeft w:val="0"/>
      <w:marRight w:val="0"/>
      <w:marTop w:val="0"/>
      <w:marBottom w:val="0"/>
      <w:divBdr>
        <w:top w:val="none" w:sz="0" w:space="0" w:color="auto"/>
        <w:left w:val="none" w:sz="0" w:space="0" w:color="auto"/>
        <w:bottom w:val="none" w:sz="0" w:space="0" w:color="auto"/>
        <w:right w:val="none" w:sz="0" w:space="0" w:color="auto"/>
      </w:divBdr>
    </w:div>
    <w:div w:id="885945397">
      <w:bodyDiv w:val="1"/>
      <w:marLeft w:val="0"/>
      <w:marRight w:val="0"/>
      <w:marTop w:val="0"/>
      <w:marBottom w:val="0"/>
      <w:divBdr>
        <w:top w:val="none" w:sz="0" w:space="0" w:color="auto"/>
        <w:left w:val="none" w:sz="0" w:space="0" w:color="auto"/>
        <w:bottom w:val="none" w:sz="0" w:space="0" w:color="auto"/>
        <w:right w:val="none" w:sz="0" w:space="0" w:color="auto"/>
      </w:divBdr>
    </w:div>
    <w:div w:id="943146436">
      <w:bodyDiv w:val="1"/>
      <w:marLeft w:val="0"/>
      <w:marRight w:val="0"/>
      <w:marTop w:val="0"/>
      <w:marBottom w:val="0"/>
      <w:divBdr>
        <w:top w:val="none" w:sz="0" w:space="0" w:color="auto"/>
        <w:left w:val="none" w:sz="0" w:space="0" w:color="auto"/>
        <w:bottom w:val="none" w:sz="0" w:space="0" w:color="auto"/>
        <w:right w:val="none" w:sz="0" w:space="0" w:color="auto"/>
      </w:divBdr>
    </w:div>
    <w:div w:id="951786739">
      <w:bodyDiv w:val="1"/>
      <w:marLeft w:val="0"/>
      <w:marRight w:val="0"/>
      <w:marTop w:val="0"/>
      <w:marBottom w:val="0"/>
      <w:divBdr>
        <w:top w:val="none" w:sz="0" w:space="0" w:color="auto"/>
        <w:left w:val="none" w:sz="0" w:space="0" w:color="auto"/>
        <w:bottom w:val="none" w:sz="0" w:space="0" w:color="auto"/>
        <w:right w:val="none" w:sz="0" w:space="0" w:color="auto"/>
      </w:divBdr>
    </w:div>
    <w:div w:id="957757027">
      <w:bodyDiv w:val="1"/>
      <w:marLeft w:val="0"/>
      <w:marRight w:val="0"/>
      <w:marTop w:val="0"/>
      <w:marBottom w:val="0"/>
      <w:divBdr>
        <w:top w:val="none" w:sz="0" w:space="0" w:color="auto"/>
        <w:left w:val="none" w:sz="0" w:space="0" w:color="auto"/>
        <w:bottom w:val="none" w:sz="0" w:space="0" w:color="auto"/>
        <w:right w:val="none" w:sz="0" w:space="0" w:color="auto"/>
      </w:divBdr>
    </w:div>
    <w:div w:id="997734215">
      <w:bodyDiv w:val="1"/>
      <w:marLeft w:val="0"/>
      <w:marRight w:val="0"/>
      <w:marTop w:val="0"/>
      <w:marBottom w:val="0"/>
      <w:divBdr>
        <w:top w:val="none" w:sz="0" w:space="0" w:color="auto"/>
        <w:left w:val="none" w:sz="0" w:space="0" w:color="auto"/>
        <w:bottom w:val="none" w:sz="0" w:space="0" w:color="auto"/>
        <w:right w:val="none" w:sz="0" w:space="0" w:color="auto"/>
      </w:divBdr>
    </w:div>
    <w:div w:id="1048533839">
      <w:bodyDiv w:val="1"/>
      <w:marLeft w:val="0"/>
      <w:marRight w:val="0"/>
      <w:marTop w:val="0"/>
      <w:marBottom w:val="0"/>
      <w:divBdr>
        <w:top w:val="none" w:sz="0" w:space="0" w:color="auto"/>
        <w:left w:val="none" w:sz="0" w:space="0" w:color="auto"/>
        <w:bottom w:val="none" w:sz="0" w:space="0" w:color="auto"/>
        <w:right w:val="none" w:sz="0" w:space="0" w:color="auto"/>
      </w:divBdr>
    </w:div>
    <w:div w:id="1049575153">
      <w:bodyDiv w:val="1"/>
      <w:marLeft w:val="0"/>
      <w:marRight w:val="0"/>
      <w:marTop w:val="0"/>
      <w:marBottom w:val="0"/>
      <w:divBdr>
        <w:top w:val="none" w:sz="0" w:space="0" w:color="auto"/>
        <w:left w:val="none" w:sz="0" w:space="0" w:color="auto"/>
        <w:bottom w:val="none" w:sz="0" w:space="0" w:color="auto"/>
        <w:right w:val="none" w:sz="0" w:space="0" w:color="auto"/>
      </w:divBdr>
    </w:div>
    <w:div w:id="1073236047">
      <w:bodyDiv w:val="1"/>
      <w:marLeft w:val="0"/>
      <w:marRight w:val="0"/>
      <w:marTop w:val="0"/>
      <w:marBottom w:val="0"/>
      <w:divBdr>
        <w:top w:val="none" w:sz="0" w:space="0" w:color="auto"/>
        <w:left w:val="none" w:sz="0" w:space="0" w:color="auto"/>
        <w:bottom w:val="none" w:sz="0" w:space="0" w:color="auto"/>
        <w:right w:val="none" w:sz="0" w:space="0" w:color="auto"/>
      </w:divBdr>
    </w:div>
    <w:div w:id="1095321861">
      <w:bodyDiv w:val="1"/>
      <w:marLeft w:val="0"/>
      <w:marRight w:val="0"/>
      <w:marTop w:val="0"/>
      <w:marBottom w:val="0"/>
      <w:divBdr>
        <w:top w:val="none" w:sz="0" w:space="0" w:color="auto"/>
        <w:left w:val="none" w:sz="0" w:space="0" w:color="auto"/>
        <w:bottom w:val="none" w:sz="0" w:space="0" w:color="auto"/>
        <w:right w:val="none" w:sz="0" w:space="0" w:color="auto"/>
      </w:divBdr>
    </w:div>
    <w:div w:id="1148671121">
      <w:bodyDiv w:val="1"/>
      <w:marLeft w:val="0"/>
      <w:marRight w:val="0"/>
      <w:marTop w:val="0"/>
      <w:marBottom w:val="0"/>
      <w:divBdr>
        <w:top w:val="none" w:sz="0" w:space="0" w:color="auto"/>
        <w:left w:val="none" w:sz="0" w:space="0" w:color="auto"/>
        <w:bottom w:val="none" w:sz="0" w:space="0" w:color="auto"/>
        <w:right w:val="none" w:sz="0" w:space="0" w:color="auto"/>
      </w:divBdr>
    </w:div>
    <w:div w:id="1152522134">
      <w:bodyDiv w:val="1"/>
      <w:marLeft w:val="0"/>
      <w:marRight w:val="0"/>
      <w:marTop w:val="0"/>
      <w:marBottom w:val="0"/>
      <w:divBdr>
        <w:top w:val="none" w:sz="0" w:space="0" w:color="auto"/>
        <w:left w:val="none" w:sz="0" w:space="0" w:color="auto"/>
        <w:bottom w:val="none" w:sz="0" w:space="0" w:color="auto"/>
        <w:right w:val="none" w:sz="0" w:space="0" w:color="auto"/>
      </w:divBdr>
    </w:div>
    <w:div w:id="1152720169">
      <w:bodyDiv w:val="1"/>
      <w:marLeft w:val="0"/>
      <w:marRight w:val="0"/>
      <w:marTop w:val="0"/>
      <w:marBottom w:val="0"/>
      <w:divBdr>
        <w:top w:val="none" w:sz="0" w:space="0" w:color="auto"/>
        <w:left w:val="none" w:sz="0" w:space="0" w:color="auto"/>
        <w:bottom w:val="none" w:sz="0" w:space="0" w:color="auto"/>
        <w:right w:val="none" w:sz="0" w:space="0" w:color="auto"/>
      </w:divBdr>
    </w:div>
    <w:div w:id="1162938679">
      <w:bodyDiv w:val="1"/>
      <w:marLeft w:val="0"/>
      <w:marRight w:val="0"/>
      <w:marTop w:val="0"/>
      <w:marBottom w:val="0"/>
      <w:divBdr>
        <w:top w:val="none" w:sz="0" w:space="0" w:color="auto"/>
        <w:left w:val="none" w:sz="0" w:space="0" w:color="auto"/>
        <w:bottom w:val="none" w:sz="0" w:space="0" w:color="auto"/>
        <w:right w:val="none" w:sz="0" w:space="0" w:color="auto"/>
      </w:divBdr>
    </w:div>
    <w:div w:id="1178891270">
      <w:bodyDiv w:val="1"/>
      <w:marLeft w:val="0"/>
      <w:marRight w:val="0"/>
      <w:marTop w:val="0"/>
      <w:marBottom w:val="0"/>
      <w:divBdr>
        <w:top w:val="none" w:sz="0" w:space="0" w:color="auto"/>
        <w:left w:val="none" w:sz="0" w:space="0" w:color="auto"/>
        <w:bottom w:val="none" w:sz="0" w:space="0" w:color="auto"/>
        <w:right w:val="none" w:sz="0" w:space="0" w:color="auto"/>
      </w:divBdr>
    </w:div>
    <w:div w:id="1228802037">
      <w:bodyDiv w:val="1"/>
      <w:marLeft w:val="0"/>
      <w:marRight w:val="0"/>
      <w:marTop w:val="0"/>
      <w:marBottom w:val="0"/>
      <w:divBdr>
        <w:top w:val="none" w:sz="0" w:space="0" w:color="auto"/>
        <w:left w:val="none" w:sz="0" w:space="0" w:color="auto"/>
        <w:bottom w:val="none" w:sz="0" w:space="0" w:color="auto"/>
        <w:right w:val="none" w:sz="0" w:space="0" w:color="auto"/>
      </w:divBdr>
    </w:div>
    <w:div w:id="1232764772">
      <w:bodyDiv w:val="1"/>
      <w:marLeft w:val="0"/>
      <w:marRight w:val="0"/>
      <w:marTop w:val="0"/>
      <w:marBottom w:val="0"/>
      <w:divBdr>
        <w:top w:val="none" w:sz="0" w:space="0" w:color="auto"/>
        <w:left w:val="none" w:sz="0" w:space="0" w:color="auto"/>
        <w:bottom w:val="none" w:sz="0" w:space="0" w:color="auto"/>
        <w:right w:val="none" w:sz="0" w:space="0" w:color="auto"/>
      </w:divBdr>
    </w:div>
    <w:div w:id="1249970583">
      <w:bodyDiv w:val="1"/>
      <w:marLeft w:val="0"/>
      <w:marRight w:val="0"/>
      <w:marTop w:val="0"/>
      <w:marBottom w:val="0"/>
      <w:divBdr>
        <w:top w:val="none" w:sz="0" w:space="0" w:color="auto"/>
        <w:left w:val="none" w:sz="0" w:space="0" w:color="auto"/>
        <w:bottom w:val="none" w:sz="0" w:space="0" w:color="auto"/>
        <w:right w:val="none" w:sz="0" w:space="0" w:color="auto"/>
      </w:divBdr>
    </w:div>
    <w:div w:id="1257130275">
      <w:bodyDiv w:val="1"/>
      <w:marLeft w:val="0"/>
      <w:marRight w:val="0"/>
      <w:marTop w:val="0"/>
      <w:marBottom w:val="0"/>
      <w:divBdr>
        <w:top w:val="none" w:sz="0" w:space="0" w:color="auto"/>
        <w:left w:val="none" w:sz="0" w:space="0" w:color="auto"/>
        <w:bottom w:val="none" w:sz="0" w:space="0" w:color="auto"/>
        <w:right w:val="none" w:sz="0" w:space="0" w:color="auto"/>
      </w:divBdr>
    </w:div>
    <w:div w:id="1264877178">
      <w:bodyDiv w:val="1"/>
      <w:marLeft w:val="0"/>
      <w:marRight w:val="0"/>
      <w:marTop w:val="0"/>
      <w:marBottom w:val="0"/>
      <w:divBdr>
        <w:top w:val="none" w:sz="0" w:space="0" w:color="auto"/>
        <w:left w:val="none" w:sz="0" w:space="0" w:color="auto"/>
        <w:bottom w:val="none" w:sz="0" w:space="0" w:color="auto"/>
        <w:right w:val="none" w:sz="0" w:space="0" w:color="auto"/>
      </w:divBdr>
    </w:div>
    <w:div w:id="1282686091">
      <w:bodyDiv w:val="1"/>
      <w:marLeft w:val="0"/>
      <w:marRight w:val="0"/>
      <w:marTop w:val="0"/>
      <w:marBottom w:val="0"/>
      <w:divBdr>
        <w:top w:val="none" w:sz="0" w:space="0" w:color="auto"/>
        <w:left w:val="none" w:sz="0" w:space="0" w:color="auto"/>
        <w:bottom w:val="none" w:sz="0" w:space="0" w:color="auto"/>
        <w:right w:val="none" w:sz="0" w:space="0" w:color="auto"/>
      </w:divBdr>
    </w:div>
    <w:div w:id="1314217497">
      <w:bodyDiv w:val="1"/>
      <w:marLeft w:val="0"/>
      <w:marRight w:val="0"/>
      <w:marTop w:val="0"/>
      <w:marBottom w:val="0"/>
      <w:divBdr>
        <w:top w:val="none" w:sz="0" w:space="0" w:color="auto"/>
        <w:left w:val="none" w:sz="0" w:space="0" w:color="auto"/>
        <w:bottom w:val="none" w:sz="0" w:space="0" w:color="auto"/>
        <w:right w:val="none" w:sz="0" w:space="0" w:color="auto"/>
      </w:divBdr>
    </w:div>
    <w:div w:id="1319185102">
      <w:bodyDiv w:val="1"/>
      <w:marLeft w:val="0"/>
      <w:marRight w:val="0"/>
      <w:marTop w:val="0"/>
      <w:marBottom w:val="0"/>
      <w:divBdr>
        <w:top w:val="none" w:sz="0" w:space="0" w:color="auto"/>
        <w:left w:val="none" w:sz="0" w:space="0" w:color="auto"/>
        <w:bottom w:val="none" w:sz="0" w:space="0" w:color="auto"/>
        <w:right w:val="none" w:sz="0" w:space="0" w:color="auto"/>
      </w:divBdr>
    </w:div>
    <w:div w:id="1352687627">
      <w:bodyDiv w:val="1"/>
      <w:marLeft w:val="0"/>
      <w:marRight w:val="0"/>
      <w:marTop w:val="0"/>
      <w:marBottom w:val="0"/>
      <w:divBdr>
        <w:top w:val="none" w:sz="0" w:space="0" w:color="auto"/>
        <w:left w:val="none" w:sz="0" w:space="0" w:color="auto"/>
        <w:bottom w:val="none" w:sz="0" w:space="0" w:color="auto"/>
        <w:right w:val="none" w:sz="0" w:space="0" w:color="auto"/>
      </w:divBdr>
    </w:div>
    <w:div w:id="1361515559">
      <w:bodyDiv w:val="1"/>
      <w:marLeft w:val="0"/>
      <w:marRight w:val="0"/>
      <w:marTop w:val="0"/>
      <w:marBottom w:val="0"/>
      <w:divBdr>
        <w:top w:val="none" w:sz="0" w:space="0" w:color="auto"/>
        <w:left w:val="none" w:sz="0" w:space="0" w:color="auto"/>
        <w:bottom w:val="none" w:sz="0" w:space="0" w:color="auto"/>
        <w:right w:val="none" w:sz="0" w:space="0" w:color="auto"/>
      </w:divBdr>
    </w:div>
    <w:div w:id="1363552455">
      <w:bodyDiv w:val="1"/>
      <w:marLeft w:val="0"/>
      <w:marRight w:val="0"/>
      <w:marTop w:val="0"/>
      <w:marBottom w:val="0"/>
      <w:divBdr>
        <w:top w:val="none" w:sz="0" w:space="0" w:color="auto"/>
        <w:left w:val="none" w:sz="0" w:space="0" w:color="auto"/>
        <w:bottom w:val="none" w:sz="0" w:space="0" w:color="auto"/>
        <w:right w:val="none" w:sz="0" w:space="0" w:color="auto"/>
      </w:divBdr>
    </w:div>
    <w:div w:id="1387949961">
      <w:bodyDiv w:val="1"/>
      <w:marLeft w:val="0"/>
      <w:marRight w:val="0"/>
      <w:marTop w:val="0"/>
      <w:marBottom w:val="0"/>
      <w:divBdr>
        <w:top w:val="none" w:sz="0" w:space="0" w:color="auto"/>
        <w:left w:val="none" w:sz="0" w:space="0" w:color="auto"/>
        <w:bottom w:val="none" w:sz="0" w:space="0" w:color="auto"/>
        <w:right w:val="none" w:sz="0" w:space="0" w:color="auto"/>
      </w:divBdr>
    </w:div>
    <w:div w:id="1409108829">
      <w:bodyDiv w:val="1"/>
      <w:marLeft w:val="0"/>
      <w:marRight w:val="0"/>
      <w:marTop w:val="0"/>
      <w:marBottom w:val="0"/>
      <w:divBdr>
        <w:top w:val="none" w:sz="0" w:space="0" w:color="auto"/>
        <w:left w:val="none" w:sz="0" w:space="0" w:color="auto"/>
        <w:bottom w:val="none" w:sz="0" w:space="0" w:color="auto"/>
        <w:right w:val="none" w:sz="0" w:space="0" w:color="auto"/>
      </w:divBdr>
    </w:div>
    <w:div w:id="1410230063">
      <w:bodyDiv w:val="1"/>
      <w:marLeft w:val="0"/>
      <w:marRight w:val="0"/>
      <w:marTop w:val="0"/>
      <w:marBottom w:val="0"/>
      <w:divBdr>
        <w:top w:val="none" w:sz="0" w:space="0" w:color="auto"/>
        <w:left w:val="none" w:sz="0" w:space="0" w:color="auto"/>
        <w:bottom w:val="none" w:sz="0" w:space="0" w:color="auto"/>
        <w:right w:val="none" w:sz="0" w:space="0" w:color="auto"/>
      </w:divBdr>
    </w:div>
    <w:div w:id="1413697243">
      <w:bodyDiv w:val="1"/>
      <w:marLeft w:val="0"/>
      <w:marRight w:val="0"/>
      <w:marTop w:val="0"/>
      <w:marBottom w:val="0"/>
      <w:divBdr>
        <w:top w:val="none" w:sz="0" w:space="0" w:color="auto"/>
        <w:left w:val="none" w:sz="0" w:space="0" w:color="auto"/>
        <w:bottom w:val="none" w:sz="0" w:space="0" w:color="auto"/>
        <w:right w:val="none" w:sz="0" w:space="0" w:color="auto"/>
      </w:divBdr>
    </w:div>
    <w:div w:id="1415855360">
      <w:bodyDiv w:val="1"/>
      <w:marLeft w:val="0"/>
      <w:marRight w:val="0"/>
      <w:marTop w:val="0"/>
      <w:marBottom w:val="0"/>
      <w:divBdr>
        <w:top w:val="none" w:sz="0" w:space="0" w:color="auto"/>
        <w:left w:val="none" w:sz="0" w:space="0" w:color="auto"/>
        <w:bottom w:val="none" w:sz="0" w:space="0" w:color="auto"/>
        <w:right w:val="none" w:sz="0" w:space="0" w:color="auto"/>
      </w:divBdr>
    </w:div>
    <w:div w:id="1417364851">
      <w:bodyDiv w:val="1"/>
      <w:marLeft w:val="0"/>
      <w:marRight w:val="0"/>
      <w:marTop w:val="0"/>
      <w:marBottom w:val="0"/>
      <w:divBdr>
        <w:top w:val="none" w:sz="0" w:space="0" w:color="auto"/>
        <w:left w:val="none" w:sz="0" w:space="0" w:color="auto"/>
        <w:bottom w:val="none" w:sz="0" w:space="0" w:color="auto"/>
        <w:right w:val="none" w:sz="0" w:space="0" w:color="auto"/>
      </w:divBdr>
    </w:div>
    <w:div w:id="1424914262">
      <w:bodyDiv w:val="1"/>
      <w:marLeft w:val="0"/>
      <w:marRight w:val="0"/>
      <w:marTop w:val="0"/>
      <w:marBottom w:val="0"/>
      <w:divBdr>
        <w:top w:val="none" w:sz="0" w:space="0" w:color="auto"/>
        <w:left w:val="none" w:sz="0" w:space="0" w:color="auto"/>
        <w:bottom w:val="none" w:sz="0" w:space="0" w:color="auto"/>
        <w:right w:val="none" w:sz="0" w:space="0" w:color="auto"/>
      </w:divBdr>
    </w:div>
    <w:div w:id="1465922606">
      <w:bodyDiv w:val="1"/>
      <w:marLeft w:val="0"/>
      <w:marRight w:val="0"/>
      <w:marTop w:val="0"/>
      <w:marBottom w:val="0"/>
      <w:divBdr>
        <w:top w:val="none" w:sz="0" w:space="0" w:color="auto"/>
        <w:left w:val="none" w:sz="0" w:space="0" w:color="auto"/>
        <w:bottom w:val="none" w:sz="0" w:space="0" w:color="auto"/>
        <w:right w:val="none" w:sz="0" w:space="0" w:color="auto"/>
      </w:divBdr>
    </w:div>
    <w:div w:id="1519199857">
      <w:bodyDiv w:val="1"/>
      <w:marLeft w:val="0"/>
      <w:marRight w:val="0"/>
      <w:marTop w:val="0"/>
      <w:marBottom w:val="0"/>
      <w:divBdr>
        <w:top w:val="none" w:sz="0" w:space="0" w:color="auto"/>
        <w:left w:val="none" w:sz="0" w:space="0" w:color="auto"/>
        <w:bottom w:val="none" w:sz="0" w:space="0" w:color="auto"/>
        <w:right w:val="none" w:sz="0" w:space="0" w:color="auto"/>
      </w:divBdr>
    </w:div>
    <w:div w:id="1559511453">
      <w:bodyDiv w:val="1"/>
      <w:marLeft w:val="0"/>
      <w:marRight w:val="0"/>
      <w:marTop w:val="0"/>
      <w:marBottom w:val="0"/>
      <w:divBdr>
        <w:top w:val="none" w:sz="0" w:space="0" w:color="auto"/>
        <w:left w:val="none" w:sz="0" w:space="0" w:color="auto"/>
        <w:bottom w:val="none" w:sz="0" w:space="0" w:color="auto"/>
        <w:right w:val="none" w:sz="0" w:space="0" w:color="auto"/>
      </w:divBdr>
    </w:div>
    <w:div w:id="1584758614">
      <w:bodyDiv w:val="1"/>
      <w:marLeft w:val="0"/>
      <w:marRight w:val="0"/>
      <w:marTop w:val="0"/>
      <w:marBottom w:val="0"/>
      <w:divBdr>
        <w:top w:val="none" w:sz="0" w:space="0" w:color="auto"/>
        <w:left w:val="none" w:sz="0" w:space="0" w:color="auto"/>
        <w:bottom w:val="none" w:sz="0" w:space="0" w:color="auto"/>
        <w:right w:val="none" w:sz="0" w:space="0" w:color="auto"/>
      </w:divBdr>
    </w:div>
    <w:div w:id="1607616534">
      <w:bodyDiv w:val="1"/>
      <w:marLeft w:val="0"/>
      <w:marRight w:val="0"/>
      <w:marTop w:val="0"/>
      <w:marBottom w:val="0"/>
      <w:divBdr>
        <w:top w:val="none" w:sz="0" w:space="0" w:color="auto"/>
        <w:left w:val="none" w:sz="0" w:space="0" w:color="auto"/>
        <w:bottom w:val="none" w:sz="0" w:space="0" w:color="auto"/>
        <w:right w:val="none" w:sz="0" w:space="0" w:color="auto"/>
      </w:divBdr>
    </w:div>
    <w:div w:id="1609509122">
      <w:bodyDiv w:val="1"/>
      <w:marLeft w:val="0"/>
      <w:marRight w:val="0"/>
      <w:marTop w:val="0"/>
      <w:marBottom w:val="0"/>
      <w:divBdr>
        <w:top w:val="none" w:sz="0" w:space="0" w:color="auto"/>
        <w:left w:val="none" w:sz="0" w:space="0" w:color="auto"/>
        <w:bottom w:val="none" w:sz="0" w:space="0" w:color="auto"/>
        <w:right w:val="none" w:sz="0" w:space="0" w:color="auto"/>
      </w:divBdr>
    </w:div>
    <w:div w:id="1611936080">
      <w:bodyDiv w:val="1"/>
      <w:marLeft w:val="0"/>
      <w:marRight w:val="0"/>
      <w:marTop w:val="0"/>
      <w:marBottom w:val="0"/>
      <w:divBdr>
        <w:top w:val="none" w:sz="0" w:space="0" w:color="auto"/>
        <w:left w:val="none" w:sz="0" w:space="0" w:color="auto"/>
        <w:bottom w:val="none" w:sz="0" w:space="0" w:color="auto"/>
        <w:right w:val="none" w:sz="0" w:space="0" w:color="auto"/>
      </w:divBdr>
    </w:div>
    <w:div w:id="1627660159">
      <w:bodyDiv w:val="1"/>
      <w:marLeft w:val="0"/>
      <w:marRight w:val="0"/>
      <w:marTop w:val="0"/>
      <w:marBottom w:val="0"/>
      <w:divBdr>
        <w:top w:val="none" w:sz="0" w:space="0" w:color="auto"/>
        <w:left w:val="none" w:sz="0" w:space="0" w:color="auto"/>
        <w:bottom w:val="none" w:sz="0" w:space="0" w:color="auto"/>
        <w:right w:val="none" w:sz="0" w:space="0" w:color="auto"/>
      </w:divBdr>
    </w:div>
    <w:div w:id="1665891316">
      <w:bodyDiv w:val="1"/>
      <w:marLeft w:val="0"/>
      <w:marRight w:val="0"/>
      <w:marTop w:val="0"/>
      <w:marBottom w:val="0"/>
      <w:divBdr>
        <w:top w:val="none" w:sz="0" w:space="0" w:color="auto"/>
        <w:left w:val="none" w:sz="0" w:space="0" w:color="auto"/>
        <w:bottom w:val="none" w:sz="0" w:space="0" w:color="auto"/>
        <w:right w:val="none" w:sz="0" w:space="0" w:color="auto"/>
      </w:divBdr>
    </w:div>
    <w:div w:id="1674792988">
      <w:bodyDiv w:val="1"/>
      <w:marLeft w:val="0"/>
      <w:marRight w:val="0"/>
      <w:marTop w:val="0"/>
      <w:marBottom w:val="0"/>
      <w:divBdr>
        <w:top w:val="none" w:sz="0" w:space="0" w:color="auto"/>
        <w:left w:val="none" w:sz="0" w:space="0" w:color="auto"/>
        <w:bottom w:val="none" w:sz="0" w:space="0" w:color="auto"/>
        <w:right w:val="none" w:sz="0" w:space="0" w:color="auto"/>
      </w:divBdr>
    </w:div>
    <w:div w:id="1678968893">
      <w:bodyDiv w:val="1"/>
      <w:marLeft w:val="0"/>
      <w:marRight w:val="0"/>
      <w:marTop w:val="0"/>
      <w:marBottom w:val="0"/>
      <w:divBdr>
        <w:top w:val="none" w:sz="0" w:space="0" w:color="auto"/>
        <w:left w:val="none" w:sz="0" w:space="0" w:color="auto"/>
        <w:bottom w:val="none" w:sz="0" w:space="0" w:color="auto"/>
        <w:right w:val="none" w:sz="0" w:space="0" w:color="auto"/>
      </w:divBdr>
    </w:div>
    <w:div w:id="1803578885">
      <w:bodyDiv w:val="1"/>
      <w:marLeft w:val="0"/>
      <w:marRight w:val="0"/>
      <w:marTop w:val="0"/>
      <w:marBottom w:val="0"/>
      <w:divBdr>
        <w:top w:val="none" w:sz="0" w:space="0" w:color="auto"/>
        <w:left w:val="none" w:sz="0" w:space="0" w:color="auto"/>
        <w:bottom w:val="none" w:sz="0" w:space="0" w:color="auto"/>
        <w:right w:val="none" w:sz="0" w:space="0" w:color="auto"/>
      </w:divBdr>
    </w:div>
    <w:div w:id="1878732817">
      <w:bodyDiv w:val="1"/>
      <w:marLeft w:val="0"/>
      <w:marRight w:val="0"/>
      <w:marTop w:val="0"/>
      <w:marBottom w:val="0"/>
      <w:divBdr>
        <w:top w:val="none" w:sz="0" w:space="0" w:color="auto"/>
        <w:left w:val="none" w:sz="0" w:space="0" w:color="auto"/>
        <w:bottom w:val="none" w:sz="0" w:space="0" w:color="auto"/>
        <w:right w:val="none" w:sz="0" w:space="0" w:color="auto"/>
      </w:divBdr>
    </w:div>
    <w:div w:id="1909224215">
      <w:bodyDiv w:val="1"/>
      <w:marLeft w:val="0"/>
      <w:marRight w:val="0"/>
      <w:marTop w:val="0"/>
      <w:marBottom w:val="0"/>
      <w:divBdr>
        <w:top w:val="none" w:sz="0" w:space="0" w:color="auto"/>
        <w:left w:val="none" w:sz="0" w:space="0" w:color="auto"/>
        <w:bottom w:val="none" w:sz="0" w:space="0" w:color="auto"/>
        <w:right w:val="none" w:sz="0" w:space="0" w:color="auto"/>
      </w:divBdr>
    </w:div>
    <w:div w:id="2019380476">
      <w:bodyDiv w:val="1"/>
      <w:marLeft w:val="0"/>
      <w:marRight w:val="0"/>
      <w:marTop w:val="0"/>
      <w:marBottom w:val="0"/>
      <w:divBdr>
        <w:top w:val="none" w:sz="0" w:space="0" w:color="auto"/>
        <w:left w:val="none" w:sz="0" w:space="0" w:color="auto"/>
        <w:bottom w:val="none" w:sz="0" w:space="0" w:color="auto"/>
        <w:right w:val="none" w:sz="0" w:space="0" w:color="auto"/>
      </w:divBdr>
    </w:div>
    <w:div w:id="2043551115">
      <w:bodyDiv w:val="1"/>
      <w:marLeft w:val="0"/>
      <w:marRight w:val="0"/>
      <w:marTop w:val="0"/>
      <w:marBottom w:val="0"/>
      <w:divBdr>
        <w:top w:val="none" w:sz="0" w:space="0" w:color="auto"/>
        <w:left w:val="none" w:sz="0" w:space="0" w:color="auto"/>
        <w:bottom w:val="none" w:sz="0" w:space="0" w:color="auto"/>
        <w:right w:val="none" w:sz="0" w:space="0" w:color="auto"/>
      </w:divBdr>
    </w:div>
    <w:div w:id="2071224098">
      <w:bodyDiv w:val="1"/>
      <w:marLeft w:val="0"/>
      <w:marRight w:val="0"/>
      <w:marTop w:val="0"/>
      <w:marBottom w:val="0"/>
      <w:divBdr>
        <w:top w:val="none" w:sz="0" w:space="0" w:color="auto"/>
        <w:left w:val="none" w:sz="0" w:space="0" w:color="auto"/>
        <w:bottom w:val="none" w:sz="0" w:space="0" w:color="auto"/>
        <w:right w:val="none" w:sz="0" w:space="0" w:color="auto"/>
      </w:divBdr>
    </w:div>
    <w:div w:id="2081907721">
      <w:bodyDiv w:val="1"/>
      <w:marLeft w:val="0"/>
      <w:marRight w:val="0"/>
      <w:marTop w:val="0"/>
      <w:marBottom w:val="0"/>
      <w:divBdr>
        <w:top w:val="none" w:sz="0" w:space="0" w:color="auto"/>
        <w:left w:val="none" w:sz="0" w:space="0" w:color="auto"/>
        <w:bottom w:val="none" w:sz="0" w:space="0" w:color="auto"/>
        <w:right w:val="none" w:sz="0" w:space="0" w:color="auto"/>
      </w:divBdr>
    </w:div>
    <w:div w:id="2082017621">
      <w:bodyDiv w:val="1"/>
      <w:marLeft w:val="0"/>
      <w:marRight w:val="0"/>
      <w:marTop w:val="0"/>
      <w:marBottom w:val="0"/>
      <w:divBdr>
        <w:top w:val="none" w:sz="0" w:space="0" w:color="auto"/>
        <w:left w:val="none" w:sz="0" w:space="0" w:color="auto"/>
        <w:bottom w:val="none" w:sz="0" w:space="0" w:color="auto"/>
        <w:right w:val="none" w:sz="0" w:space="0" w:color="auto"/>
      </w:divBdr>
    </w:div>
    <w:div w:id="2089377531">
      <w:bodyDiv w:val="1"/>
      <w:marLeft w:val="0"/>
      <w:marRight w:val="0"/>
      <w:marTop w:val="0"/>
      <w:marBottom w:val="0"/>
      <w:divBdr>
        <w:top w:val="none" w:sz="0" w:space="0" w:color="auto"/>
        <w:left w:val="none" w:sz="0" w:space="0" w:color="auto"/>
        <w:bottom w:val="none" w:sz="0" w:space="0" w:color="auto"/>
        <w:right w:val="none" w:sz="0" w:space="0" w:color="auto"/>
      </w:divBdr>
    </w:div>
    <w:div w:id="2104262271">
      <w:bodyDiv w:val="1"/>
      <w:marLeft w:val="0"/>
      <w:marRight w:val="0"/>
      <w:marTop w:val="0"/>
      <w:marBottom w:val="0"/>
      <w:divBdr>
        <w:top w:val="none" w:sz="0" w:space="0" w:color="auto"/>
        <w:left w:val="none" w:sz="0" w:space="0" w:color="auto"/>
        <w:bottom w:val="none" w:sz="0" w:space="0" w:color="auto"/>
        <w:right w:val="none" w:sz="0" w:space="0" w:color="auto"/>
      </w:divBdr>
    </w:div>
    <w:div w:id="213463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www.rtinsights.com/generative-ai-has-real-" TargetMode="External"/><Relationship Id="rId42" Type="http://schemas.openxmlformats.org/officeDocument/2006/relationships/hyperlink" Target="mailto:nurkhalilaazka@gmail.com" TargetMode="External"/><Relationship Id="rId47" Type="http://schemas.openxmlformats.org/officeDocument/2006/relationships/hyperlink" Target="mailto:rinajuwita@fisip.unmul.ac.id" TargetMode="External"/><Relationship Id="rId63" Type="http://schemas.openxmlformats.org/officeDocument/2006/relationships/hyperlink" Target="mailto:rezkoreyzor@gmail.com" TargetMode="External"/><Relationship Id="rId68" Type="http://schemas.openxmlformats.org/officeDocument/2006/relationships/hyperlink" Target="mailto:alfinwong19@gmail.com" TargetMode="External"/><Relationship Id="rId84" Type="http://schemas.openxmlformats.org/officeDocument/2006/relationships/image" Target="media/image31.png"/><Relationship Id="rId89"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hyperlink" Target="https://www.researchgate.net/publication/346082990" TargetMode="External"/><Relationship Id="rId29" Type="http://schemas.openxmlformats.org/officeDocument/2006/relationships/image" Target="media/image6.jpeg"/><Relationship Id="rId107" Type="http://schemas.openxmlformats.org/officeDocument/2006/relationships/image" Target="media/image34.jpeg"/><Relationship Id="rId11" Type="http://schemas.openxmlformats.org/officeDocument/2006/relationships/footer" Target="footer1.xml"/><Relationship Id="rId24" Type="http://schemas.openxmlformats.org/officeDocument/2006/relationships/hyperlink" Target="mailto:aimansrezeky@gmail.com"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mailto:hannamonalisabrginting@gmail.com" TargetMode="External"/><Relationship Id="rId53" Type="http://schemas.openxmlformats.org/officeDocument/2006/relationships/hyperlink" Target="mailto:nataliar23e4@student.unhas.ac.id" TargetMode="External"/><Relationship Id="rId58" Type="http://schemas.openxmlformats.org/officeDocument/2006/relationships/image" Target="media/image22.png"/><Relationship Id="rId66" Type="http://schemas.openxmlformats.org/officeDocument/2006/relationships/hyperlink" Target="mailto:niluhputusetyadewisetyadewi@gmail.com" TargetMode="External"/><Relationship Id="rId74" Type="http://schemas.openxmlformats.org/officeDocument/2006/relationships/hyperlink" Target="mailto:ngraceylla@gmail.com" TargetMode="External"/><Relationship Id="rId79" Type="http://schemas.openxmlformats.org/officeDocument/2006/relationships/image" Target="media/image27.png"/><Relationship Id="rId87" Type="http://schemas.openxmlformats.org/officeDocument/2006/relationships/diagramData" Target="diagrams/data1.xml"/><Relationship Id="rId102" Type="http://schemas.openxmlformats.org/officeDocument/2006/relationships/hyperlink" Target="https://www.kompas.com/edu/read/2024/10/18/140525871/regulasi-dan-etika-penggunaan-ai-pada-pendidikan-tinggi-bagian-i?page=2" TargetMode="External"/><Relationship Id="rId110"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hyperlink" Target="https://archive.umsida.ac.id/index.php/archive/preprint/view/4378" TargetMode="External"/><Relationship Id="rId82" Type="http://schemas.openxmlformats.org/officeDocument/2006/relationships/hyperlink" Target="https://theconversation.com/are-blondes-actually-dumb56560" TargetMode="External"/><Relationship Id="rId90" Type="http://schemas.openxmlformats.org/officeDocument/2006/relationships/diagramColors" Target="diagrams/colors1.xml"/><Relationship Id="rId95" Type="http://schemas.openxmlformats.org/officeDocument/2006/relationships/hyperlink" Target="https://doi.org/10.33369/jbengkoelenjust.v13i2.30001" TargetMode="External"/><Relationship Id="rId19" Type="http://schemas.openxmlformats.org/officeDocument/2006/relationships/hyperlink" Target="mailto:andi.pajolloi@mercubuana.ac.id" TargetMode="External"/><Relationship Id="rId14" Type="http://schemas.openxmlformats.org/officeDocument/2006/relationships/hyperlink" Target="https://www.mdpi.com/2624-6511/5/1/5" TargetMode="External"/><Relationship Id="rId22" Type="http://schemas.openxmlformats.org/officeDocument/2006/relationships/hyperlink" Target="http://www.splunk.com/en_us/blog/learn/real-time-analytics.html"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hyperlink" Target="mailto:shakiraazizah0@gmail.com" TargetMode="External"/><Relationship Id="rId48" Type="http://schemas.openxmlformats.org/officeDocument/2006/relationships/hyperlink" Target="mailto:nurkhalilaazka@gmail.com" TargetMode="External"/><Relationship Id="rId56" Type="http://schemas.openxmlformats.org/officeDocument/2006/relationships/image" Target="media/image20.png"/><Relationship Id="rId64" Type="http://schemas.openxmlformats.org/officeDocument/2006/relationships/hyperlink" Target="mailto:syirashfr@gmail.com" TargetMode="External"/><Relationship Id="rId69" Type="http://schemas.openxmlformats.org/officeDocument/2006/relationships/hyperlink" Target="mailto:rinajuwita@fisip.unmul.ac.id" TargetMode="External"/><Relationship Id="rId77" Type="http://schemas.openxmlformats.org/officeDocument/2006/relationships/image" Target="media/image25.png"/><Relationship Id="rId100" Type="http://schemas.openxmlformats.org/officeDocument/2006/relationships/hyperlink" Target="https://doi.org/10.54675/PCSP7350" TargetMode="External"/><Relationship Id="rId105" Type="http://schemas.openxmlformats.org/officeDocument/2006/relationships/hyperlink" Target="https://www.learntechlib.org/primary/p/222340/" TargetMode="External"/><Relationship Id="rId8" Type="http://schemas.openxmlformats.org/officeDocument/2006/relationships/endnotes" Target="endnotes.xml"/><Relationship Id="rId51" Type="http://schemas.openxmlformats.org/officeDocument/2006/relationships/hyperlink" Target="mailto:rahmann23e@student.unhas.ac.id" TargetMode="External"/><Relationship Id="rId72" Type="http://schemas.openxmlformats.org/officeDocument/2006/relationships/hyperlink" Target="mailto:Devitriana2005@gmail.com" TargetMode="External"/><Relationship Id="rId80" Type="http://schemas.openxmlformats.org/officeDocument/2006/relationships/image" Target="media/image28.png"/><Relationship Id="rId85" Type="http://schemas.openxmlformats.org/officeDocument/2006/relationships/image" Target="media/image32.png"/><Relationship Id="rId93" Type="http://schemas.openxmlformats.org/officeDocument/2006/relationships/hyperlink" Target="https://doi.org/10.3390/su16020781" TargetMode="External"/><Relationship Id="rId98" Type="http://schemas.openxmlformats.org/officeDocument/2006/relationships/hyperlink" Target="https://doi.org/10.1145/3313831.3376727"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mailto:aimansrezeky@gmail.com"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yperlink" Target="mailto:musdalifah12014@gmail.com" TargetMode="External"/><Relationship Id="rId59" Type="http://schemas.openxmlformats.org/officeDocument/2006/relationships/image" Target="media/image23.png"/><Relationship Id="rId67" Type="http://schemas.openxmlformats.org/officeDocument/2006/relationships/hyperlink" Target="mailto:clarencevalerie0@gmail.com" TargetMode="External"/><Relationship Id="rId103" Type="http://schemas.openxmlformats.org/officeDocument/2006/relationships/hyperlink" Target="https://doi.org/10.1016/j.jbusres.2019.07.039" TargetMode="External"/><Relationship Id="rId108" Type="http://schemas.openxmlformats.org/officeDocument/2006/relationships/header" Target="header3.xml"/><Relationship Id="rId20" Type="http://schemas.openxmlformats.org/officeDocument/2006/relationships/header" Target="header2.xml"/><Relationship Id="rId41" Type="http://schemas.openxmlformats.org/officeDocument/2006/relationships/hyperlink" Target="https://doi.org/10.56869/jikoba.v2i2.422" TargetMode="External"/><Relationship Id="rId54" Type="http://schemas.openxmlformats.org/officeDocument/2006/relationships/image" Target="media/image18.png"/><Relationship Id="rId62" Type="http://schemas.openxmlformats.org/officeDocument/2006/relationships/hyperlink" Target="https://iris.who.int/handle/10665/38425" TargetMode="External"/><Relationship Id="rId70" Type="http://schemas.openxmlformats.org/officeDocument/2006/relationships/hyperlink" Target="mailto:ainayasauliaa@gmail.com" TargetMode="External"/><Relationship Id="rId75" Type="http://schemas.openxmlformats.org/officeDocument/2006/relationships/hyperlink" Target="mailto:Ayuniafriani4@gmail.com" TargetMode="External"/><Relationship Id="rId83" Type="http://schemas.openxmlformats.org/officeDocument/2006/relationships/image" Target="media/image30.png"/><Relationship Id="rId88" Type="http://schemas.openxmlformats.org/officeDocument/2006/relationships/diagramLayout" Target="diagrams/layout1.xml"/><Relationship Id="rId91" Type="http://schemas.microsoft.com/office/2007/relationships/diagramDrawing" Target="diagrams/drawing1.xml"/><Relationship Id="rId96" Type="http://schemas.openxmlformats.org/officeDocument/2006/relationships/hyperlink" Target="https://doi.org/10.1080/2331186X.2024.2380175"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ink.springer.com/chapter/10.1007/978-3-031-45124-9_18" TargetMode="External"/><Relationship Id="rId23" Type="http://schemas.openxmlformats.org/officeDocument/2006/relationships/hyperlink" Target="mailto:2201020002@iainpalopo.ac.id"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hyperlink" Target="mailto:paramithasa23e@student.unhas.ac.id" TargetMode="External"/><Relationship Id="rId57" Type="http://schemas.openxmlformats.org/officeDocument/2006/relationships/image" Target="media/image21.png"/><Relationship Id="rId106" Type="http://schemas.openxmlformats.org/officeDocument/2006/relationships/hyperlink" Target="https://unsdg.un.org/resources/capacity-development-undaf-companion-guidance" TargetMode="External"/><Relationship Id="rId10" Type="http://schemas.openxmlformats.org/officeDocument/2006/relationships/header" Target="header1.xml"/><Relationship Id="rId31" Type="http://schemas.openxmlformats.org/officeDocument/2006/relationships/image" Target="media/image8.jpeg"/><Relationship Id="rId44" Type="http://schemas.openxmlformats.org/officeDocument/2006/relationships/hyperlink" Target="mailto:laiikuliah99@gmail.com" TargetMode="External"/><Relationship Id="rId52" Type="http://schemas.openxmlformats.org/officeDocument/2006/relationships/hyperlink" Target="mailto:safitriian23e@student.unhas.ac.id" TargetMode="External"/><Relationship Id="rId60" Type="http://schemas.openxmlformats.org/officeDocument/2006/relationships/image" Target="media/image24.png"/><Relationship Id="rId65" Type="http://schemas.openxmlformats.org/officeDocument/2006/relationships/hyperlink" Target="mailto:nurliyani5905@gmail.com" TargetMode="External"/><Relationship Id="rId73" Type="http://schemas.openxmlformats.org/officeDocument/2006/relationships/hyperlink" Target="mailto:viannabellaaa@gmail.com" TargetMode="External"/><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3.png"/><Relationship Id="rId94" Type="http://schemas.openxmlformats.org/officeDocument/2006/relationships/hyperlink" Target="https://doi.org/10.1186/s41239-023-00408-3" TargetMode="External"/><Relationship Id="rId99" Type="http://schemas.openxmlformats.org/officeDocument/2006/relationships/hyperlink" Target="https://doi.org/10.23887/jurnal_tp.v13i2.2653" TargetMode="External"/><Relationship Id="rId101" Type="http://schemas.openxmlformats.org/officeDocument/2006/relationships/hyperlink" Target="http://dx.doi.org/10.1111/bjet.13123"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www.researchgate.net/publication/384573661" TargetMode="External"/><Relationship Id="rId18" Type="http://schemas.openxmlformats.org/officeDocument/2006/relationships/hyperlink" Target="mailto:faridfausan@gmail.com" TargetMode="External"/><Relationship Id="rId39" Type="http://schemas.openxmlformats.org/officeDocument/2006/relationships/image" Target="media/image16.jpeg"/><Relationship Id="rId109" Type="http://schemas.openxmlformats.org/officeDocument/2006/relationships/fontTable" Target="fontTable.xml"/><Relationship Id="rId34" Type="http://schemas.openxmlformats.org/officeDocument/2006/relationships/image" Target="media/image11.jpeg"/><Relationship Id="rId50" Type="http://schemas.openxmlformats.org/officeDocument/2006/relationships/hyperlink" Target="mailto:hilmanurmfa23e@student.unhas.ac.id" TargetMode="External"/><Relationship Id="rId55" Type="http://schemas.openxmlformats.org/officeDocument/2006/relationships/image" Target="media/image19.png"/><Relationship Id="rId76" Type="http://schemas.openxmlformats.org/officeDocument/2006/relationships/hyperlink" Target="mailto:rinajuwita@fisip.unmul.ac.id" TargetMode="External"/><Relationship Id="rId97" Type="http://schemas.openxmlformats.org/officeDocument/2006/relationships/hyperlink" Target="https://ssrn.com/abstract=3938578" TargetMode="External"/><Relationship Id="rId104" Type="http://schemas.openxmlformats.org/officeDocument/2006/relationships/hyperlink" Target="https://www.ibm.com/topics/generative-ai" TargetMode="External"/><Relationship Id="rId7" Type="http://schemas.openxmlformats.org/officeDocument/2006/relationships/footnotes" Target="footnotes.xml"/><Relationship Id="rId71" Type="http://schemas.openxmlformats.org/officeDocument/2006/relationships/hyperlink" Target="mailto:Audreyaudrey27@gmail.com" TargetMode="External"/><Relationship Id="rId92" Type="http://schemas.openxmlformats.org/officeDocument/2006/relationships/hyperlink" Target="https://doi.org/10.1007/s40979-023-00142-3"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715E50-C574-40DA-98CE-9B670A263F22}" type="doc">
      <dgm:prSet loTypeId="urn:microsoft.com/office/officeart/2005/8/layout/target1" loCatId="relationship" qsTypeId="urn:microsoft.com/office/officeart/2005/8/quickstyle/simple2" qsCatId="simple" csTypeId="urn:microsoft.com/office/officeart/2005/8/colors/colorful1" csCatId="colorful" phldr="1"/>
      <dgm:spPr/>
    </dgm:pt>
    <dgm:pt modelId="{A90162A2-5E74-48BF-A169-EC0028223826}">
      <dgm:prSet phldrT="[Text]" custT="1"/>
      <dgm:spPr/>
      <dgm:t>
        <a:bodyPr/>
        <a:lstStyle/>
        <a:p>
          <a:pPr algn="ctr"/>
          <a:r>
            <a:rPr lang="en-US" sz="700" b="1"/>
            <a:t>Individual</a:t>
          </a:r>
        </a:p>
      </dgm:t>
    </dgm:pt>
    <dgm:pt modelId="{E3F6C2FD-6CB3-46AD-B146-1A10526178FB}" type="parTrans" cxnId="{296FBB26-1CB9-4850-A1B0-E4CB038E9E69}">
      <dgm:prSet/>
      <dgm:spPr/>
      <dgm:t>
        <a:bodyPr/>
        <a:lstStyle/>
        <a:p>
          <a:pPr algn="ctr"/>
          <a:endParaRPr lang="en-US"/>
        </a:p>
      </dgm:t>
    </dgm:pt>
    <dgm:pt modelId="{8437CAF4-E73B-46A7-A542-ADE3732F92EE}" type="sibTrans" cxnId="{296FBB26-1CB9-4850-A1B0-E4CB038E9E69}">
      <dgm:prSet/>
      <dgm:spPr/>
      <dgm:t>
        <a:bodyPr/>
        <a:lstStyle/>
        <a:p>
          <a:pPr algn="ctr"/>
          <a:endParaRPr lang="en-US"/>
        </a:p>
      </dgm:t>
    </dgm:pt>
    <dgm:pt modelId="{C50486DC-C660-45A5-B8F8-C364E13F369D}">
      <dgm:prSet phldrT="[Text]" custT="1"/>
      <dgm:spPr/>
      <dgm:t>
        <a:bodyPr/>
        <a:lstStyle/>
        <a:p>
          <a:pPr algn="ctr"/>
          <a:r>
            <a:rPr lang="en-US" sz="700" b="1"/>
            <a:t>Organizational</a:t>
          </a:r>
          <a:endParaRPr lang="en-US" sz="400" b="1"/>
        </a:p>
      </dgm:t>
    </dgm:pt>
    <dgm:pt modelId="{C009D4D5-28B4-4CF6-8B47-3264CF81A77E}" type="parTrans" cxnId="{1FB40103-7DB2-408A-9B81-7583B1257596}">
      <dgm:prSet/>
      <dgm:spPr/>
      <dgm:t>
        <a:bodyPr/>
        <a:lstStyle/>
        <a:p>
          <a:pPr algn="ctr"/>
          <a:endParaRPr lang="en-US"/>
        </a:p>
      </dgm:t>
    </dgm:pt>
    <dgm:pt modelId="{9AFE392B-D5C8-407D-8976-118EACE43414}" type="sibTrans" cxnId="{1FB40103-7DB2-408A-9B81-7583B1257596}">
      <dgm:prSet/>
      <dgm:spPr/>
      <dgm:t>
        <a:bodyPr/>
        <a:lstStyle/>
        <a:p>
          <a:pPr algn="ctr"/>
          <a:endParaRPr lang="en-US"/>
        </a:p>
      </dgm:t>
    </dgm:pt>
    <dgm:pt modelId="{7A3628DB-3227-4298-86D7-E41BCAD12A50}">
      <dgm:prSet phldrT="[Text]" custT="1"/>
      <dgm:spPr/>
      <dgm:t>
        <a:bodyPr/>
        <a:lstStyle/>
        <a:p>
          <a:pPr algn="ctr"/>
          <a:r>
            <a:rPr lang="en-US" sz="700" b="1"/>
            <a:t>Enabling Environment</a:t>
          </a:r>
        </a:p>
      </dgm:t>
    </dgm:pt>
    <dgm:pt modelId="{A2568D29-B784-49BF-929D-031FEC6D3DE4}" type="parTrans" cxnId="{4AD49DEF-B6C5-4D25-9775-2A93329CACBD}">
      <dgm:prSet/>
      <dgm:spPr/>
      <dgm:t>
        <a:bodyPr/>
        <a:lstStyle/>
        <a:p>
          <a:pPr algn="ctr"/>
          <a:endParaRPr lang="en-US"/>
        </a:p>
      </dgm:t>
    </dgm:pt>
    <dgm:pt modelId="{884DAEDB-81DD-4D95-B775-834880B78068}" type="sibTrans" cxnId="{4AD49DEF-B6C5-4D25-9775-2A93329CACBD}">
      <dgm:prSet/>
      <dgm:spPr/>
      <dgm:t>
        <a:bodyPr/>
        <a:lstStyle/>
        <a:p>
          <a:pPr algn="ctr"/>
          <a:endParaRPr lang="en-US"/>
        </a:p>
      </dgm:t>
    </dgm:pt>
    <dgm:pt modelId="{F9466068-9903-408B-A070-322FE4F0FDEE}" type="pres">
      <dgm:prSet presAssocID="{26715E50-C574-40DA-98CE-9B670A263F22}" presName="composite" presStyleCnt="0">
        <dgm:presLayoutVars>
          <dgm:chMax val="5"/>
          <dgm:dir/>
          <dgm:resizeHandles val="exact"/>
        </dgm:presLayoutVars>
      </dgm:prSet>
      <dgm:spPr/>
    </dgm:pt>
    <dgm:pt modelId="{DF45FC37-4A98-468C-ADD2-95FB3E041BC8}" type="pres">
      <dgm:prSet presAssocID="{A90162A2-5E74-48BF-A169-EC0028223826}" presName="circle1" presStyleLbl="lnNode1" presStyleIdx="0" presStyleCnt="3"/>
      <dgm:spPr/>
    </dgm:pt>
    <dgm:pt modelId="{B8604B6E-F537-4728-B0A4-872273BF44A0}" type="pres">
      <dgm:prSet presAssocID="{A90162A2-5E74-48BF-A169-EC0028223826}" presName="text1" presStyleLbl="revTx" presStyleIdx="0" presStyleCnt="3">
        <dgm:presLayoutVars>
          <dgm:bulletEnabled val="1"/>
        </dgm:presLayoutVars>
      </dgm:prSet>
      <dgm:spPr/>
    </dgm:pt>
    <dgm:pt modelId="{321A5EF1-F4E7-4198-84B5-EF9565A3B482}" type="pres">
      <dgm:prSet presAssocID="{A90162A2-5E74-48BF-A169-EC0028223826}" presName="line1" presStyleLbl="callout" presStyleIdx="0" presStyleCnt="6"/>
      <dgm:spPr/>
    </dgm:pt>
    <dgm:pt modelId="{07A52AAD-0B6C-407C-800A-79A57786F236}" type="pres">
      <dgm:prSet presAssocID="{A90162A2-5E74-48BF-A169-EC0028223826}" presName="d1" presStyleLbl="callout" presStyleIdx="1" presStyleCnt="6"/>
      <dgm:spPr/>
    </dgm:pt>
    <dgm:pt modelId="{E3CA1415-9307-4C4F-94DC-604554AF6DEB}" type="pres">
      <dgm:prSet presAssocID="{C50486DC-C660-45A5-B8F8-C364E13F369D}" presName="circle2" presStyleLbl="lnNode1" presStyleIdx="1" presStyleCnt="3"/>
      <dgm:spPr/>
    </dgm:pt>
    <dgm:pt modelId="{D1690730-8ECB-4D88-91A2-E7F9F26840CA}" type="pres">
      <dgm:prSet presAssocID="{C50486DC-C660-45A5-B8F8-C364E13F369D}" presName="text2" presStyleLbl="revTx" presStyleIdx="1" presStyleCnt="3" custScaleX="144434">
        <dgm:presLayoutVars>
          <dgm:bulletEnabled val="1"/>
        </dgm:presLayoutVars>
      </dgm:prSet>
      <dgm:spPr/>
    </dgm:pt>
    <dgm:pt modelId="{1A763141-D768-4BD0-9A5C-D9DCE905BBC5}" type="pres">
      <dgm:prSet presAssocID="{C50486DC-C660-45A5-B8F8-C364E13F369D}" presName="line2" presStyleLbl="callout" presStyleIdx="2" presStyleCnt="6"/>
      <dgm:spPr/>
    </dgm:pt>
    <dgm:pt modelId="{7D4853B4-7004-41BD-A926-0FC3FECD8E39}" type="pres">
      <dgm:prSet presAssocID="{C50486DC-C660-45A5-B8F8-C364E13F369D}" presName="d2" presStyleLbl="callout" presStyleIdx="3" presStyleCnt="6"/>
      <dgm:spPr/>
    </dgm:pt>
    <dgm:pt modelId="{C9DCE49E-1C92-4C6E-9B73-1FF7595B555F}" type="pres">
      <dgm:prSet presAssocID="{7A3628DB-3227-4298-86D7-E41BCAD12A50}" presName="circle3" presStyleLbl="lnNode1" presStyleIdx="2" presStyleCnt="3"/>
      <dgm:spPr/>
    </dgm:pt>
    <dgm:pt modelId="{D5095318-071F-49DD-AD1E-A11A0AAD30DE}" type="pres">
      <dgm:prSet presAssocID="{7A3628DB-3227-4298-86D7-E41BCAD12A50}" presName="text3" presStyleLbl="revTx" presStyleIdx="2" presStyleCnt="3" custScaleX="145289">
        <dgm:presLayoutVars>
          <dgm:bulletEnabled val="1"/>
        </dgm:presLayoutVars>
      </dgm:prSet>
      <dgm:spPr/>
    </dgm:pt>
    <dgm:pt modelId="{D90E0789-5298-41F8-8A0B-7D024710B38D}" type="pres">
      <dgm:prSet presAssocID="{7A3628DB-3227-4298-86D7-E41BCAD12A50}" presName="line3" presStyleLbl="callout" presStyleIdx="4" presStyleCnt="6"/>
      <dgm:spPr/>
    </dgm:pt>
    <dgm:pt modelId="{4B5671C4-6C5B-45C6-8FDD-5340763B2CF0}" type="pres">
      <dgm:prSet presAssocID="{7A3628DB-3227-4298-86D7-E41BCAD12A50}" presName="d3" presStyleLbl="callout" presStyleIdx="5" presStyleCnt="6"/>
      <dgm:spPr/>
    </dgm:pt>
  </dgm:ptLst>
  <dgm:cxnLst>
    <dgm:cxn modelId="{1FB40103-7DB2-408A-9B81-7583B1257596}" srcId="{26715E50-C574-40DA-98CE-9B670A263F22}" destId="{C50486DC-C660-45A5-B8F8-C364E13F369D}" srcOrd="1" destOrd="0" parTransId="{C009D4D5-28B4-4CF6-8B47-3264CF81A77E}" sibTransId="{9AFE392B-D5C8-407D-8976-118EACE43414}"/>
    <dgm:cxn modelId="{363A740B-AE1B-4CED-9930-B4460DD7BE0D}" type="presOf" srcId="{C50486DC-C660-45A5-B8F8-C364E13F369D}" destId="{D1690730-8ECB-4D88-91A2-E7F9F26840CA}" srcOrd="0" destOrd="0" presId="urn:microsoft.com/office/officeart/2005/8/layout/target1"/>
    <dgm:cxn modelId="{104EA812-E694-4FFC-AEB7-35CA2B558493}" type="presOf" srcId="{A90162A2-5E74-48BF-A169-EC0028223826}" destId="{B8604B6E-F537-4728-B0A4-872273BF44A0}" srcOrd="0" destOrd="0" presId="urn:microsoft.com/office/officeart/2005/8/layout/target1"/>
    <dgm:cxn modelId="{296FBB26-1CB9-4850-A1B0-E4CB038E9E69}" srcId="{26715E50-C574-40DA-98CE-9B670A263F22}" destId="{A90162A2-5E74-48BF-A169-EC0028223826}" srcOrd="0" destOrd="0" parTransId="{E3F6C2FD-6CB3-46AD-B146-1A10526178FB}" sibTransId="{8437CAF4-E73B-46A7-A542-ADE3732F92EE}"/>
    <dgm:cxn modelId="{65000E37-E285-4881-874B-6AC63CCA4A98}" type="presOf" srcId="{26715E50-C574-40DA-98CE-9B670A263F22}" destId="{F9466068-9903-408B-A070-322FE4F0FDEE}" srcOrd="0" destOrd="0" presId="urn:microsoft.com/office/officeart/2005/8/layout/target1"/>
    <dgm:cxn modelId="{3DC0F68A-DE73-4C82-ADE7-2E4BEE3FB20F}" type="presOf" srcId="{7A3628DB-3227-4298-86D7-E41BCAD12A50}" destId="{D5095318-071F-49DD-AD1E-A11A0AAD30DE}" srcOrd="0" destOrd="0" presId="urn:microsoft.com/office/officeart/2005/8/layout/target1"/>
    <dgm:cxn modelId="{4AD49DEF-B6C5-4D25-9775-2A93329CACBD}" srcId="{26715E50-C574-40DA-98CE-9B670A263F22}" destId="{7A3628DB-3227-4298-86D7-E41BCAD12A50}" srcOrd="2" destOrd="0" parTransId="{A2568D29-B784-49BF-929D-031FEC6D3DE4}" sibTransId="{884DAEDB-81DD-4D95-B775-834880B78068}"/>
    <dgm:cxn modelId="{D5A20D0E-9030-4540-8907-C173B8BB8D2E}" type="presParOf" srcId="{F9466068-9903-408B-A070-322FE4F0FDEE}" destId="{DF45FC37-4A98-468C-ADD2-95FB3E041BC8}" srcOrd="0" destOrd="0" presId="urn:microsoft.com/office/officeart/2005/8/layout/target1"/>
    <dgm:cxn modelId="{E6075162-78F7-48AE-A628-453C397C7702}" type="presParOf" srcId="{F9466068-9903-408B-A070-322FE4F0FDEE}" destId="{B8604B6E-F537-4728-B0A4-872273BF44A0}" srcOrd="1" destOrd="0" presId="urn:microsoft.com/office/officeart/2005/8/layout/target1"/>
    <dgm:cxn modelId="{42B1D4DB-3A44-49E9-8210-9DBBD18C755D}" type="presParOf" srcId="{F9466068-9903-408B-A070-322FE4F0FDEE}" destId="{321A5EF1-F4E7-4198-84B5-EF9565A3B482}" srcOrd="2" destOrd="0" presId="urn:microsoft.com/office/officeart/2005/8/layout/target1"/>
    <dgm:cxn modelId="{3C5BC8AE-BB9E-4CDE-B9F4-0731BEB14612}" type="presParOf" srcId="{F9466068-9903-408B-A070-322FE4F0FDEE}" destId="{07A52AAD-0B6C-407C-800A-79A57786F236}" srcOrd="3" destOrd="0" presId="urn:microsoft.com/office/officeart/2005/8/layout/target1"/>
    <dgm:cxn modelId="{54E0578A-0187-477A-9A45-7C1336D12709}" type="presParOf" srcId="{F9466068-9903-408B-A070-322FE4F0FDEE}" destId="{E3CA1415-9307-4C4F-94DC-604554AF6DEB}" srcOrd="4" destOrd="0" presId="urn:microsoft.com/office/officeart/2005/8/layout/target1"/>
    <dgm:cxn modelId="{B2CB0D0C-3338-4CCC-B165-B74056D6F74A}" type="presParOf" srcId="{F9466068-9903-408B-A070-322FE4F0FDEE}" destId="{D1690730-8ECB-4D88-91A2-E7F9F26840CA}" srcOrd="5" destOrd="0" presId="urn:microsoft.com/office/officeart/2005/8/layout/target1"/>
    <dgm:cxn modelId="{9D605A18-B396-4A95-B4E6-9358F138E70E}" type="presParOf" srcId="{F9466068-9903-408B-A070-322FE4F0FDEE}" destId="{1A763141-D768-4BD0-9A5C-D9DCE905BBC5}" srcOrd="6" destOrd="0" presId="urn:microsoft.com/office/officeart/2005/8/layout/target1"/>
    <dgm:cxn modelId="{12D51C21-C5AF-441B-86EA-519F7C022433}" type="presParOf" srcId="{F9466068-9903-408B-A070-322FE4F0FDEE}" destId="{7D4853B4-7004-41BD-A926-0FC3FECD8E39}" srcOrd="7" destOrd="0" presId="urn:microsoft.com/office/officeart/2005/8/layout/target1"/>
    <dgm:cxn modelId="{77F792A5-0856-4437-A4C8-9428614E34BC}" type="presParOf" srcId="{F9466068-9903-408B-A070-322FE4F0FDEE}" destId="{C9DCE49E-1C92-4C6E-9B73-1FF7595B555F}" srcOrd="8" destOrd="0" presId="urn:microsoft.com/office/officeart/2005/8/layout/target1"/>
    <dgm:cxn modelId="{39CB9165-A0B4-4978-BDC3-4E405103CB66}" type="presParOf" srcId="{F9466068-9903-408B-A070-322FE4F0FDEE}" destId="{D5095318-071F-49DD-AD1E-A11A0AAD30DE}" srcOrd="9" destOrd="0" presId="urn:microsoft.com/office/officeart/2005/8/layout/target1"/>
    <dgm:cxn modelId="{6D25013F-E40F-442D-9353-6A793A4FA9AB}" type="presParOf" srcId="{F9466068-9903-408B-A070-322FE4F0FDEE}" destId="{D90E0789-5298-41F8-8A0B-7D024710B38D}" srcOrd="10" destOrd="0" presId="urn:microsoft.com/office/officeart/2005/8/layout/target1"/>
    <dgm:cxn modelId="{98E68D4B-7606-4BAF-8DFD-B8797CF80151}" type="presParOf" srcId="{F9466068-9903-408B-A070-322FE4F0FDEE}" destId="{4B5671C4-6C5B-45C6-8FDD-5340763B2CF0}" srcOrd="11" destOrd="0" presId="urn:microsoft.com/office/officeart/2005/8/layout/target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DCE49E-1C92-4C6E-9B73-1FF7595B555F}">
      <dsp:nvSpPr>
        <dsp:cNvPr id="0" name=""/>
        <dsp:cNvSpPr/>
      </dsp:nvSpPr>
      <dsp:spPr>
        <a:xfrm>
          <a:off x="1237254" y="314324"/>
          <a:ext cx="942975" cy="942975"/>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3CA1415-9307-4C4F-94DC-604554AF6DEB}">
      <dsp:nvSpPr>
        <dsp:cNvPr id="0" name=""/>
        <dsp:cNvSpPr/>
      </dsp:nvSpPr>
      <dsp:spPr>
        <a:xfrm>
          <a:off x="1425849" y="502920"/>
          <a:ext cx="565785" cy="565785"/>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F45FC37-4A98-468C-ADD2-95FB3E041BC8}">
      <dsp:nvSpPr>
        <dsp:cNvPr id="0" name=""/>
        <dsp:cNvSpPr/>
      </dsp:nvSpPr>
      <dsp:spPr>
        <a:xfrm>
          <a:off x="1614444" y="691514"/>
          <a:ext cx="188595" cy="188595"/>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B8604B6E-F537-4728-B0A4-872273BF44A0}">
      <dsp:nvSpPr>
        <dsp:cNvPr id="0" name=""/>
        <dsp:cNvSpPr/>
      </dsp:nvSpPr>
      <dsp:spPr>
        <a:xfrm>
          <a:off x="2337392" y="0"/>
          <a:ext cx="471487" cy="2750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Individual</a:t>
          </a:r>
        </a:p>
      </dsp:txBody>
      <dsp:txXfrm>
        <a:off x="2337392" y="0"/>
        <a:ext cx="471487" cy="275034"/>
      </dsp:txXfrm>
    </dsp:sp>
    <dsp:sp modelId="{321A5EF1-F4E7-4198-84B5-EF9565A3B482}">
      <dsp:nvSpPr>
        <dsp:cNvPr id="0" name=""/>
        <dsp:cNvSpPr/>
      </dsp:nvSpPr>
      <dsp:spPr>
        <a:xfrm>
          <a:off x="2219520" y="137517"/>
          <a:ext cx="11787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07A52AAD-0B6C-407C-800A-79A57786F236}">
      <dsp:nvSpPr>
        <dsp:cNvPr id="0" name=""/>
        <dsp:cNvSpPr/>
      </dsp:nvSpPr>
      <dsp:spPr>
        <a:xfrm rot="5400000">
          <a:off x="1639826" y="206590"/>
          <a:ext cx="648138" cy="510306"/>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D1690730-8ECB-4D88-91A2-E7F9F26840CA}">
      <dsp:nvSpPr>
        <dsp:cNvPr id="0" name=""/>
        <dsp:cNvSpPr/>
      </dsp:nvSpPr>
      <dsp:spPr>
        <a:xfrm>
          <a:off x="2232641" y="275034"/>
          <a:ext cx="680988" cy="2750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Organizational</a:t>
          </a:r>
          <a:endParaRPr lang="en-US" sz="400" b="1" kern="1200"/>
        </a:p>
      </dsp:txBody>
      <dsp:txXfrm>
        <a:off x="2232641" y="275034"/>
        <a:ext cx="680988" cy="275034"/>
      </dsp:txXfrm>
    </dsp:sp>
    <dsp:sp modelId="{1A763141-D768-4BD0-9A5C-D9DCE905BBC5}">
      <dsp:nvSpPr>
        <dsp:cNvPr id="0" name=""/>
        <dsp:cNvSpPr/>
      </dsp:nvSpPr>
      <dsp:spPr>
        <a:xfrm>
          <a:off x="2219520" y="412551"/>
          <a:ext cx="11787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7D4853B4-7004-41BD-A926-0FC3FECD8E39}">
      <dsp:nvSpPr>
        <dsp:cNvPr id="0" name=""/>
        <dsp:cNvSpPr/>
      </dsp:nvSpPr>
      <dsp:spPr>
        <a:xfrm rot="5400000">
          <a:off x="1778946" y="477333"/>
          <a:ext cx="505057" cy="375146"/>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D5095318-071F-49DD-AD1E-A11A0AAD30DE}">
      <dsp:nvSpPr>
        <dsp:cNvPr id="0" name=""/>
        <dsp:cNvSpPr/>
      </dsp:nvSpPr>
      <dsp:spPr>
        <a:xfrm>
          <a:off x="2230626" y="550068"/>
          <a:ext cx="685019" cy="2750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Enabling Environment</a:t>
          </a:r>
        </a:p>
      </dsp:txBody>
      <dsp:txXfrm>
        <a:off x="2230626" y="550068"/>
        <a:ext cx="685019" cy="275034"/>
      </dsp:txXfrm>
    </dsp:sp>
    <dsp:sp modelId="{D90E0789-5298-41F8-8A0B-7D024710B38D}">
      <dsp:nvSpPr>
        <dsp:cNvPr id="0" name=""/>
        <dsp:cNvSpPr/>
      </dsp:nvSpPr>
      <dsp:spPr>
        <a:xfrm>
          <a:off x="2219520" y="687585"/>
          <a:ext cx="11787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 modelId="{4B5671C4-6C5B-45C6-8FDD-5340763B2CF0}">
      <dsp:nvSpPr>
        <dsp:cNvPr id="0" name=""/>
        <dsp:cNvSpPr/>
      </dsp:nvSpPr>
      <dsp:spPr>
        <a:xfrm rot="5400000">
          <a:off x="1918239" y="747857"/>
          <a:ext cx="360845" cy="239987"/>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0C4B865C2C433B8C9522C43FF31C44"/>
        <w:category>
          <w:name w:val="General"/>
          <w:gallery w:val="placeholder"/>
        </w:category>
        <w:types>
          <w:type w:val="bbPlcHdr"/>
        </w:types>
        <w:behaviors>
          <w:behavior w:val="content"/>
        </w:behaviors>
        <w:guid w:val="{63C6A41E-BFBD-4653-AC7F-283F5D14B641}"/>
      </w:docPartPr>
      <w:docPartBody>
        <w:p w:rsidR="00AC3684" w:rsidRDefault="00B54E2F" w:rsidP="00B54E2F">
          <w:pPr>
            <w:pStyle w:val="330C4B865C2C433B8C9522C43FF31C44"/>
          </w:pPr>
          <w:r w:rsidRPr="00AB2D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sto MT">
    <w:altName w:val="Calisto"/>
    <w:panose1 w:val="0204060305050503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E2F"/>
    <w:rsid w:val="00074FE6"/>
    <w:rsid w:val="00111E13"/>
    <w:rsid w:val="00117557"/>
    <w:rsid w:val="001C1C78"/>
    <w:rsid w:val="00250749"/>
    <w:rsid w:val="00377E04"/>
    <w:rsid w:val="003A743B"/>
    <w:rsid w:val="00407F95"/>
    <w:rsid w:val="00443BEB"/>
    <w:rsid w:val="00460A7D"/>
    <w:rsid w:val="004739B2"/>
    <w:rsid w:val="00476783"/>
    <w:rsid w:val="005147B7"/>
    <w:rsid w:val="00532D64"/>
    <w:rsid w:val="00574976"/>
    <w:rsid w:val="00593B87"/>
    <w:rsid w:val="005B1B0E"/>
    <w:rsid w:val="006F292E"/>
    <w:rsid w:val="00737F60"/>
    <w:rsid w:val="007656A7"/>
    <w:rsid w:val="00771959"/>
    <w:rsid w:val="008436BD"/>
    <w:rsid w:val="008800A0"/>
    <w:rsid w:val="00903617"/>
    <w:rsid w:val="00927135"/>
    <w:rsid w:val="00A17C22"/>
    <w:rsid w:val="00A55D44"/>
    <w:rsid w:val="00AB029D"/>
    <w:rsid w:val="00AC3684"/>
    <w:rsid w:val="00B4538C"/>
    <w:rsid w:val="00B54E2F"/>
    <w:rsid w:val="00B80FEE"/>
    <w:rsid w:val="00BD240D"/>
    <w:rsid w:val="00CA60BC"/>
    <w:rsid w:val="00CB79AB"/>
    <w:rsid w:val="00CF27C6"/>
    <w:rsid w:val="00D1447B"/>
    <w:rsid w:val="00D432AA"/>
    <w:rsid w:val="00E9005F"/>
    <w:rsid w:val="00F167CA"/>
    <w:rsid w:val="00FA0AE2"/>
    <w:rsid w:val="00FF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E2F"/>
    <w:rPr>
      <w:color w:val="808080"/>
    </w:rPr>
  </w:style>
  <w:style w:type="paragraph" w:customStyle="1" w:styleId="330C4B865C2C433B8C9522C43FF31C44">
    <w:name w:val="330C4B865C2C433B8C9522C43FF31C44"/>
    <w:rsid w:val="00B54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h+IXomA02q6vfXYm+O/U9rm0g==">CgMxLjA4AHIhMWswdUg2Q1BpenVDSXZiTkU2X3lDM0lScXJobWJyZHdR</go:docsCustomData>
</go:gDocsCustomXmlDataStorage>
</file>

<file path=customXml/itemProps1.xml><?xml version="1.0" encoding="utf-8"?>
<ds:datastoreItem xmlns:ds="http://schemas.openxmlformats.org/officeDocument/2006/customXml" ds:itemID="{91B7112A-8241-41D3-8312-5719F5E59E6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73980</Words>
  <Characters>446846</Characters>
  <Application>Microsoft Office Word</Application>
  <DocSecurity>0</DocSecurity>
  <Lines>6571</Lines>
  <Paragraphs>1669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The Impact of Artificial Intelligence on Governance and Policy-Making in Malaysi</vt:lpstr>
      <vt:lpstr>    Muhammad Amil Wong Tian1</vt:lpstr>
      <vt:lpstr>AI in International Relations: A Triumph for Progress or a Menace to Humanity?</vt:lpstr>
      <vt:lpstr>    Ashrie Wahid1</vt:lpstr>
      <vt:lpstr>AI and Public Policy Process: Between Efficiency and Ethical Challenges</vt:lpstr>
      <vt:lpstr>    Andi Muhammad Farid Fausan Bate1, Andi Pajolloi Bate2</vt:lpstr>
    </vt:vector>
  </TitlesOfParts>
  <Company/>
  <LinksUpToDate>false</LinksUpToDate>
  <CharactersWithSpaces>519157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Putu Wijangga</dc:creator>
  <cp:lastModifiedBy>Putu Wijangga</cp:lastModifiedBy>
  <cp:revision>25</cp:revision>
  <dcterms:created xsi:type="dcterms:W3CDTF">2025-05-02T06:40:00Z</dcterms:created>
  <dcterms:modified xsi:type="dcterms:W3CDTF">2025-05-12T00:56:00Z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7beb47a5-7203-4aff-9938-d1cf775bf0f7</vt:lpwstr>
  </property>
</Properties>
</file>